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E30A0D" w14:textId="74D8E8B3" w:rsidR="00B953CA" w:rsidRDefault="005349B4">
      <w:pPr>
        <w:jc w:val="left"/>
        <w:rPr>
          <w:lang w:eastAsia="fr-FR"/>
        </w:rPr>
      </w:pPr>
      <w:r w:rsidRPr="005349B4">
        <w:rPr>
          <w:rFonts w:cs="Open Sans"/>
          <w:b/>
          <w:bCs/>
          <w:i/>
          <w:iCs/>
          <w:noProof/>
          <w:color w:val="FFFFFF" w:themeColor="background1"/>
          <w:szCs w:val="28"/>
          <w:lang w:eastAsia="fr-FR"/>
          <w14:ligatures w14:val="standardContextual"/>
        </w:rPr>
        <mc:AlternateContent>
          <mc:Choice Requires="wps">
            <w:drawing>
              <wp:anchor distT="0" distB="0" distL="114300" distR="114300" simplePos="0" relativeHeight="251661312" behindDoc="1" locked="0" layoutInCell="1" allowOverlap="1" wp14:anchorId="7649D275" wp14:editId="597E6096">
                <wp:simplePos x="0" y="0"/>
                <wp:positionH relativeFrom="column">
                  <wp:posOffset>-1016000</wp:posOffset>
                </wp:positionH>
                <wp:positionV relativeFrom="paragraph">
                  <wp:posOffset>-677332</wp:posOffset>
                </wp:positionV>
                <wp:extent cx="15070667" cy="2065866"/>
                <wp:effectExtent l="0" t="0" r="0" b="0"/>
                <wp:wrapNone/>
                <wp:docPr id="1397281315" name="Rectangle 10"/>
                <wp:cNvGraphicFramePr/>
                <a:graphic xmlns:a="http://schemas.openxmlformats.org/drawingml/2006/main">
                  <a:graphicData uri="http://schemas.microsoft.com/office/word/2010/wordprocessingShape">
                    <wps:wsp>
                      <wps:cNvSpPr/>
                      <wps:spPr>
                        <a:xfrm>
                          <a:off x="0" y="0"/>
                          <a:ext cx="15070667" cy="2065866"/>
                        </a:xfrm>
                        <a:prstGeom prst="rect">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43C2B" id="Rectangle 10" o:spid="_x0000_s1026" style="position:absolute;margin-left:-80pt;margin-top:-53.35pt;width:1186.65pt;height:162.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" fillcolor="#4472c4" stroked="f" strokeweight="1pt"/>
            </w:pict>
          </mc:Fallback>
        </mc:AlternateContent>
      </w:r>
      <w:r w:rsidR="00765D76" w:rsidRPr="00F04C54">
        <w:rPr>
          <w:rFonts w:cs="Open Sans"/>
          <w:b/>
          <w:bCs/>
          <w:i/>
          <w:iCs/>
          <w:noProof/>
          <w:color w:val="FFFFFF" w:themeColor="background1"/>
          <w:szCs w:val="28"/>
          <w:lang w:eastAsia="fr-FR"/>
          <w14:ligatures w14:val="standardContextual"/>
        </w:rPr>
        <mc:AlternateContent>
          <mc:Choice Requires="wps">
            <w:drawing>
              <wp:anchor distT="0" distB="0" distL="114300" distR="114300" simplePos="0" relativeHeight="251659264" behindDoc="1" locked="0" layoutInCell="1" allowOverlap="1" wp14:anchorId="548EEC78" wp14:editId="1B577D6A">
                <wp:simplePos x="0" y="0"/>
                <wp:positionH relativeFrom="column">
                  <wp:posOffset>-1168400</wp:posOffset>
                </wp:positionH>
                <wp:positionV relativeFrom="paragraph">
                  <wp:posOffset>-1066800</wp:posOffset>
                </wp:positionV>
                <wp:extent cx="15697200" cy="10972800"/>
                <wp:effectExtent l="0" t="0" r="19050" b="19050"/>
                <wp:wrapNone/>
                <wp:docPr id="1850753633" name="Rectangle 10"/>
                <wp:cNvGraphicFramePr/>
                <a:graphic xmlns:a="http://schemas.openxmlformats.org/drawingml/2006/main">
                  <a:graphicData uri="http://schemas.microsoft.com/office/word/2010/wordprocessingShape">
                    <wps:wsp>
                      <wps:cNvSpPr/>
                      <wps:spPr>
                        <a:xfrm>
                          <a:off x="0" y="0"/>
                          <a:ext cx="15697200" cy="109728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28CC44" id="Rectangle 10" o:spid="_x0000_s1026" style="position:absolute;margin-left:-92pt;margin-top:-84pt;width:1236pt;height:12in;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" fillcolor="#4472c4 [3204]" strokecolor="#09101d [484]" strokeweight="1pt"/>
            </w:pict>
          </mc:Fallback>
        </mc:AlternateContent>
      </w:r>
    </w:p>
    <w:p w14:paraId="3057B3F8" w14:textId="77777777" w:rsidR="006C0069" w:rsidRPr="006C0069" w:rsidRDefault="006C0069" w:rsidP="006C0069">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r w:rsidRPr="006C0069">
        <w:rPr>
          <w:rFonts w:cs="Open Sans"/>
          <w:b/>
          <w:bCs/>
          <w:i/>
          <w:iCs/>
          <w:color w:val="FFFFFF" w:themeColor="background1"/>
          <w:szCs w:val="28"/>
          <w:lang w:eastAsia="fr-FR"/>
        </w:rPr>
        <w:t>MODULE 4 – Audit fiscal et gestion de la contribution fiscale familiale</w:t>
      </w:r>
    </w:p>
    <w:p w14:paraId="63029CE4" w14:textId="2FA00C48" w:rsidR="005349B4" w:rsidRDefault="006C0069" w:rsidP="006C0069">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r w:rsidRPr="006C0069">
        <w:rPr>
          <w:rFonts w:cs="Open Sans"/>
          <w:b/>
          <w:bCs/>
          <w:i/>
          <w:iCs/>
          <w:color w:val="FFFFFF" w:themeColor="background1"/>
          <w:szCs w:val="28"/>
          <w:lang w:eastAsia="fr-FR"/>
        </w:rPr>
        <w:t>Leçon 1 : L’impôt sur le revenu et les prélèvements sociaux</w:t>
      </w:r>
      <w:r w:rsidR="007F6503">
        <w:rPr>
          <w:rFonts w:cs="Open Sans"/>
          <w:b/>
          <w:bCs/>
          <w:i/>
          <w:iCs/>
          <w:color w:val="FFFFFF" w:themeColor="background1"/>
          <w:szCs w:val="28"/>
          <w:lang w:eastAsia="fr-FR"/>
        </w:rPr>
        <w:tab/>
      </w:r>
    </w:p>
    <w:p w14:paraId="1CBCC95C" w14:textId="77777777" w:rsidR="007F6503" w:rsidRDefault="007F6503" w:rsidP="002E5F2B">
      <w:pPr>
        <w:pStyle w:val="Paragraphe-CGPC"/>
        <w:rPr>
          <w:lang w:eastAsia="fr-FR"/>
        </w:rPr>
      </w:pPr>
    </w:p>
    <w:p w14:paraId="4C984669" w14:textId="77777777" w:rsidR="007F6503" w:rsidRDefault="007F6503" w:rsidP="002E5F2B">
      <w:pPr>
        <w:pStyle w:val="Paragraphe-CGPC"/>
        <w:rPr>
          <w:lang w:eastAsia="fr-FR"/>
        </w:rPr>
      </w:pPr>
    </w:p>
    <w:p w14:paraId="7F2B86F8" w14:textId="77777777" w:rsidR="007F6503" w:rsidRDefault="007F6503" w:rsidP="002E5F2B">
      <w:pPr>
        <w:pStyle w:val="Paragraphe-CGPC"/>
        <w:rPr>
          <w:lang w:eastAsia="fr-FR"/>
        </w:rPr>
      </w:pPr>
    </w:p>
    <w:p w14:paraId="63F269FE" w14:textId="77777777" w:rsidR="007F6503" w:rsidRDefault="007F6503" w:rsidP="002E5F2B">
      <w:pPr>
        <w:pStyle w:val="Paragraphe-CGPC"/>
        <w:rPr>
          <w:lang w:eastAsia="fr-FR"/>
        </w:rPr>
      </w:pPr>
    </w:p>
    <w:p w14:paraId="5550643F" w14:textId="77777777" w:rsidR="007F6503" w:rsidRDefault="007F6503" w:rsidP="002E5F2B">
      <w:pPr>
        <w:pStyle w:val="Paragraphe-CGPC"/>
        <w:rPr>
          <w:lang w:eastAsia="fr-FR"/>
        </w:rPr>
      </w:pPr>
    </w:p>
    <w:p w14:paraId="34A8A64D" w14:textId="77777777" w:rsidR="007F6503" w:rsidRDefault="007F6503" w:rsidP="002E5F2B">
      <w:pPr>
        <w:pStyle w:val="Paragraphe-CGPC"/>
        <w:rPr>
          <w:lang w:eastAsia="fr-FR"/>
        </w:rPr>
      </w:pPr>
    </w:p>
    <w:p w14:paraId="4636AFCC" w14:textId="77777777" w:rsidR="007F6503" w:rsidRDefault="007F6503" w:rsidP="002E5F2B">
      <w:pPr>
        <w:pStyle w:val="Paragraphe-CGPC"/>
        <w:rPr>
          <w:lang w:eastAsia="fr-FR"/>
        </w:rPr>
      </w:pPr>
    </w:p>
    <w:p w14:paraId="7AB9BBF1" w14:textId="77777777" w:rsidR="007F6503" w:rsidRDefault="007F6503" w:rsidP="002E5F2B">
      <w:pPr>
        <w:pStyle w:val="Paragraphe-CGPC"/>
        <w:rPr>
          <w:lang w:eastAsia="fr-FR"/>
        </w:rPr>
      </w:pPr>
    </w:p>
    <w:p w14:paraId="43C81597" w14:textId="77777777" w:rsidR="007F6503" w:rsidRDefault="007F6503" w:rsidP="002E5F2B">
      <w:pPr>
        <w:pStyle w:val="Paragraphe-CGPC"/>
        <w:rPr>
          <w:lang w:eastAsia="fr-FR"/>
        </w:rPr>
      </w:pPr>
    </w:p>
    <w:p w14:paraId="563BE7C6" w14:textId="29D5E69A" w:rsidR="007F6503" w:rsidRPr="005349B4" w:rsidRDefault="007F6503" w:rsidP="00BF2476">
      <w:pPr>
        <w:widowControl w:val="0"/>
        <w:autoSpaceDE w:val="0"/>
        <w:autoSpaceDN w:val="0"/>
        <w:spacing w:after="0" w:line="240" w:lineRule="auto"/>
        <w:jc w:val="left"/>
        <w:rPr>
          <w:lang w:eastAsia="fr-FR"/>
        </w:rPr>
      </w:pPr>
      <w:r w:rsidRPr="007F6503">
        <w:rPr>
          <w:rFonts w:cs="Open Sans"/>
          <w:b/>
          <w:bCs/>
          <w:color w:val="FFFFFF" w:themeColor="background1"/>
          <w:sz w:val="56"/>
          <w:szCs w:val="56"/>
          <w:lang w:eastAsia="fr-FR"/>
        </w:rPr>
        <w:t xml:space="preserve">Chapitre 1 : </w:t>
      </w:r>
      <w:r w:rsidR="00A1546E">
        <w:rPr>
          <w:rFonts w:cs="Open Sans"/>
          <w:b/>
          <w:bCs/>
          <w:color w:val="FFFFFF" w:themeColor="background1"/>
          <w:sz w:val="56"/>
          <w:szCs w:val="56"/>
          <w:lang w:eastAsia="fr-FR"/>
        </w:rPr>
        <w:t xml:space="preserve">L’impôt sur le revenu </w:t>
      </w:r>
    </w:p>
    <w:p w14:paraId="0C2E5569" w14:textId="6F2FCD1A" w:rsidR="00B953CA" w:rsidRDefault="00B953CA" w:rsidP="002E5F2B">
      <w:pPr>
        <w:pStyle w:val="Paragraphe-CGPC"/>
        <w:rPr>
          <w:lang w:eastAsia="fr-FR"/>
        </w:rPr>
      </w:pPr>
      <w:r>
        <w:rPr>
          <w:lang w:eastAsia="fr-FR"/>
        </w:rPr>
        <w:br w:type="page"/>
      </w:r>
    </w:p>
    <w:sdt>
      <w:sdtPr>
        <w:rPr>
          <w:rFonts w:ascii="Open Sans" w:eastAsiaTheme="minorHAnsi" w:hAnsi="Open Sans" w:cstheme="minorBidi"/>
          <w:color w:val="auto"/>
          <w:sz w:val="28"/>
          <w:szCs w:val="22"/>
          <w:lang w:eastAsia="en-US"/>
        </w:rPr>
        <w:id w:val="1647854667"/>
        <w:docPartObj>
          <w:docPartGallery w:val="Table of Contents"/>
          <w:docPartUnique/>
        </w:docPartObj>
      </w:sdtPr>
      <w:sdtEndPr>
        <w:rPr>
          <w:b/>
          <w:bCs/>
        </w:rPr>
      </w:sdtEndPr>
      <w:sdtContent>
        <w:p w14:paraId="3A3A7339" w14:textId="381C4F55" w:rsidR="00691C59" w:rsidRDefault="00691C59" w:rsidP="000B416A">
          <w:pPr>
            <w:pStyle w:val="En-ttedetabledesmatires"/>
          </w:pPr>
          <w:r>
            <w:t>Table des matières</w:t>
          </w:r>
        </w:p>
        <w:p w14:paraId="227AA9EE" w14:textId="1F3815BA" w:rsidR="008B6FD2" w:rsidRDefault="00691C59" w:rsidP="000D53DF">
          <w:pPr>
            <w:pStyle w:val="TM1"/>
            <w:rPr>
              <w:rFonts w:asciiTheme="minorHAnsi" w:eastAsiaTheme="minorEastAsia" w:hAnsiTheme="minorHAnsi"/>
              <w:kern w:val="2"/>
              <w:sz w:val="24"/>
              <w:szCs w:val="24"/>
              <w:lang w:val="en-US"/>
              <w14:ligatures w14:val="standardContextual"/>
            </w:rPr>
          </w:pPr>
          <w:r>
            <w:fldChar w:fldCharType="begin"/>
          </w:r>
          <w:r>
            <w:instrText xml:space="preserve"> TOC \o "1-3" \h \z \u </w:instrText>
          </w:r>
          <w:r>
            <w:fldChar w:fldCharType="separate"/>
          </w:r>
          <w:hyperlink w:anchor="_Toc233204926" w:history="1">
            <w:r w:rsidR="008B6FD2" w:rsidRPr="00455E0F">
              <w:rPr>
                <w:rStyle w:val="Lienhypertexte"/>
              </w:rPr>
              <w:t>I.</w:t>
            </w:r>
            <w:r w:rsidR="008B6FD2">
              <w:rPr>
                <w:rFonts w:asciiTheme="minorHAnsi" w:eastAsiaTheme="minorEastAsia" w:hAnsiTheme="minorHAnsi"/>
                <w:kern w:val="2"/>
                <w:sz w:val="24"/>
                <w:szCs w:val="24"/>
                <w:lang w:val="en-US"/>
                <w14:ligatures w14:val="standardContextual"/>
              </w:rPr>
              <w:tab/>
            </w:r>
            <w:r w:rsidR="008B6FD2" w:rsidRPr="00455E0F">
              <w:rPr>
                <w:rStyle w:val="Lienhypertexte"/>
              </w:rPr>
              <w:t>Introduction : les caractéristiques générales de l’IR</w:t>
            </w:r>
            <w:r w:rsidR="008B6FD2">
              <w:rPr>
                <w:webHidden/>
              </w:rPr>
              <w:tab/>
            </w:r>
            <w:r w:rsidR="008B6FD2">
              <w:rPr>
                <w:webHidden/>
              </w:rPr>
              <w:fldChar w:fldCharType="begin"/>
            </w:r>
            <w:r w:rsidR="008B6FD2">
              <w:rPr>
                <w:webHidden/>
              </w:rPr>
              <w:instrText xml:space="preserve"> PAGEREF _Toc233204926 \h </w:instrText>
            </w:r>
            <w:r w:rsidR="008B6FD2">
              <w:rPr>
                <w:webHidden/>
              </w:rPr>
            </w:r>
            <w:r w:rsidR="008B6FD2">
              <w:rPr>
                <w:webHidden/>
              </w:rPr>
              <w:fldChar w:fldCharType="separate"/>
            </w:r>
            <w:r w:rsidR="008B6FD2">
              <w:rPr>
                <w:webHidden/>
              </w:rPr>
              <w:t>3</w:t>
            </w:r>
            <w:r w:rsidR="008B6FD2">
              <w:rPr>
                <w:webHidden/>
              </w:rPr>
              <w:fldChar w:fldCharType="end"/>
            </w:r>
          </w:hyperlink>
        </w:p>
        <w:p w14:paraId="56D5CE06" w14:textId="16B9C46B"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27" w:history="1">
            <w:r w:rsidRPr="00455E0F">
              <w:rPr>
                <w:rStyle w:val="Lienhypertexte"/>
                <w:noProof/>
              </w:rPr>
              <w:t>1.</w:t>
            </w:r>
            <w:r>
              <w:rPr>
                <w:rFonts w:asciiTheme="minorHAnsi" w:eastAsiaTheme="minorEastAsia" w:hAnsiTheme="minorHAnsi"/>
                <w:noProof/>
                <w:kern w:val="2"/>
                <w:sz w:val="24"/>
                <w:szCs w:val="24"/>
                <w:lang w:val="en-US"/>
                <w14:ligatures w14:val="standardContextual"/>
              </w:rPr>
              <w:tab/>
            </w:r>
            <w:r w:rsidRPr="00455E0F">
              <w:rPr>
                <w:rStyle w:val="Lienhypertexte"/>
                <w:noProof/>
              </w:rPr>
              <w:t>Définitions</w:t>
            </w:r>
            <w:r>
              <w:rPr>
                <w:noProof/>
                <w:webHidden/>
              </w:rPr>
              <w:tab/>
            </w:r>
            <w:r>
              <w:rPr>
                <w:noProof/>
                <w:webHidden/>
              </w:rPr>
              <w:fldChar w:fldCharType="begin"/>
            </w:r>
            <w:r>
              <w:rPr>
                <w:noProof/>
                <w:webHidden/>
              </w:rPr>
              <w:instrText xml:space="preserve"> PAGEREF _Toc233204927 \h </w:instrText>
            </w:r>
            <w:r>
              <w:rPr>
                <w:noProof/>
                <w:webHidden/>
              </w:rPr>
            </w:r>
            <w:r>
              <w:rPr>
                <w:noProof/>
                <w:webHidden/>
              </w:rPr>
              <w:fldChar w:fldCharType="separate"/>
            </w:r>
            <w:r>
              <w:rPr>
                <w:noProof/>
                <w:webHidden/>
              </w:rPr>
              <w:t>5</w:t>
            </w:r>
            <w:r>
              <w:rPr>
                <w:noProof/>
                <w:webHidden/>
              </w:rPr>
              <w:fldChar w:fldCharType="end"/>
            </w:r>
          </w:hyperlink>
        </w:p>
        <w:p w14:paraId="634DAFB8" w14:textId="743D5E44"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28" w:history="1">
            <w:r w:rsidRPr="00455E0F">
              <w:rPr>
                <w:rStyle w:val="Lienhypertexte"/>
                <w:noProof/>
              </w:rPr>
              <w:t>2.</w:t>
            </w:r>
            <w:r>
              <w:rPr>
                <w:rFonts w:asciiTheme="minorHAnsi" w:eastAsiaTheme="minorEastAsia" w:hAnsiTheme="minorHAnsi"/>
                <w:noProof/>
                <w:kern w:val="2"/>
                <w:sz w:val="24"/>
                <w:szCs w:val="24"/>
                <w:lang w:val="en-US"/>
                <w14:ligatures w14:val="standardContextual"/>
              </w:rPr>
              <w:tab/>
            </w:r>
            <w:r w:rsidRPr="00455E0F">
              <w:rPr>
                <w:rStyle w:val="Lienhypertexte"/>
                <w:noProof/>
              </w:rPr>
              <w:t>Un revenu global</w:t>
            </w:r>
            <w:r>
              <w:rPr>
                <w:noProof/>
                <w:webHidden/>
              </w:rPr>
              <w:tab/>
            </w:r>
            <w:r>
              <w:rPr>
                <w:noProof/>
                <w:webHidden/>
              </w:rPr>
              <w:fldChar w:fldCharType="begin"/>
            </w:r>
            <w:r>
              <w:rPr>
                <w:noProof/>
                <w:webHidden/>
              </w:rPr>
              <w:instrText xml:space="preserve"> PAGEREF _Toc233204928 \h </w:instrText>
            </w:r>
            <w:r>
              <w:rPr>
                <w:noProof/>
                <w:webHidden/>
              </w:rPr>
            </w:r>
            <w:r>
              <w:rPr>
                <w:noProof/>
                <w:webHidden/>
              </w:rPr>
              <w:fldChar w:fldCharType="separate"/>
            </w:r>
            <w:r>
              <w:rPr>
                <w:noProof/>
                <w:webHidden/>
              </w:rPr>
              <w:t>5</w:t>
            </w:r>
            <w:r>
              <w:rPr>
                <w:noProof/>
                <w:webHidden/>
              </w:rPr>
              <w:fldChar w:fldCharType="end"/>
            </w:r>
          </w:hyperlink>
        </w:p>
        <w:p w14:paraId="365B0321" w14:textId="1617ADA3"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29" w:history="1">
            <w:r w:rsidRPr="00455E0F">
              <w:rPr>
                <w:rStyle w:val="Lienhypertexte"/>
                <w:noProof/>
              </w:rPr>
              <w:t>3.</w:t>
            </w:r>
            <w:r>
              <w:rPr>
                <w:rFonts w:asciiTheme="minorHAnsi" w:eastAsiaTheme="minorEastAsia" w:hAnsiTheme="minorHAnsi"/>
                <w:noProof/>
                <w:kern w:val="2"/>
                <w:sz w:val="24"/>
                <w:szCs w:val="24"/>
                <w:lang w:val="en-US"/>
                <w14:ligatures w14:val="standardContextual"/>
              </w:rPr>
              <w:tab/>
            </w:r>
            <w:r w:rsidRPr="00455E0F">
              <w:rPr>
                <w:rStyle w:val="Lienhypertexte"/>
                <w:noProof/>
              </w:rPr>
              <w:t>Un revenu par foyer</w:t>
            </w:r>
            <w:r>
              <w:rPr>
                <w:noProof/>
                <w:webHidden/>
              </w:rPr>
              <w:tab/>
            </w:r>
            <w:r>
              <w:rPr>
                <w:noProof/>
                <w:webHidden/>
              </w:rPr>
              <w:fldChar w:fldCharType="begin"/>
            </w:r>
            <w:r>
              <w:rPr>
                <w:noProof/>
                <w:webHidden/>
              </w:rPr>
              <w:instrText xml:space="preserve"> PAGEREF _Toc233204929 \h </w:instrText>
            </w:r>
            <w:r>
              <w:rPr>
                <w:noProof/>
                <w:webHidden/>
              </w:rPr>
            </w:r>
            <w:r>
              <w:rPr>
                <w:noProof/>
                <w:webHidden/>
              </w:rPr>
              <w:fldChar w:fldCharType="separate"/>
            </w:r>
            <w:r>
              <w:rPr>
                <w:noProof/>
                <w:webHidden/>
              </w:rPr>
              <w:t>6</w:t>
            </w:r>
            <w:r>
              <w:rPr>
                <w:noProof/>
                <w:webHidden/>
              </w:rPr>
              <w:fldChar w:fldCharType="end"/>
            </w:r>
          </w:hyperlink>
        </w:p>
        <w:p w14:paraId="5C93E84C" w14:textId="633D6FBE"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30" w:history="1">
            <w:r w:rsidRPr="00455E0F">
              <w:rPr>
                <w:rStyle w:val="Lienhypertexte"/>
                <w:noProof/>
              </w:rPr>
              <w:t>4.</w:t>
            </w:r>
            <w:r>
              <w:rPr>
                <w:rFonts w:asciiTheme="minorHAnsi" w:eastAsiaTheme="minorEastAsia" w:hAnsiTheme="minorHAnsi"/>
                <w:noProof/>
                <w:kern w:val="2"/>
                <w:sz w:val="24"/>
                <w:szCs w:val="24"/>
                <w:lang w:val="en-US"/>
                <w14:ligatures w14:val="standardContextual"/>
              </w:rPr>
              <w:tab/>
            </w:r>
            <w:r w:rsidRPr="00455E0F">
              <w:rPr>
                <w:rStyle w:val="Lienhypertexte"/>
                <w:noProof/>
              </w:rPr>
              <w:t>Un revenu disponible</w:t>
            </w:r>
            <w:r>
              <w:rPr>
                <w:noProof/>
                <w:webHidden/>
              </w:rPr>
              <w:tab/>
            </w:r>
            <w:r>
              <w:rPr>
                <w:noProof/>
                <w:webHidden/>
              </w:rPr>
              <w:fldChar w:fldCharType="begin"/>
            </w:r>
            <w:r>
              <w:rPr>
                <w:noProof/>
                <w:webHidden/>
              </w:rPr>
              <w:instrText xml:space="preserve"> PAGEREF _Toc233204930 \h </w:instrText>
            </w:r>
            <w:r>
              <w:rPr>
                <w:noProof/>
                <w:webHidden/>
              </w:rPr>
            </w:r>
            <w:r>
              <w:rPr>
                <w:noProof/>
                <w:webHidden/>
              </w:rPr>
              <w:fldChar w:fldCharType="separate"/>
            </w:r>
            <w:r>
              <w:rPr>
                <w:noProof/>
                <w:webHidden/>
              </w:rPr>
              <w:t>6</w:t>
            </w:r>
            <w:r>
              <w:rPr>
                <w:noProof/>
                <w:webHidden/>
              </w:rPr>
              <w:fldChar w:fldCharType="end"/>
            </w:r>
          </w:hyperlink>
        </w:p>
        <w:p w14:paraId="3143873F" w14:textId="36A231E2"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31" w:history="1">
            <w:r w:rsidRPr="00455E0F">
              <w:rPr>
                <w:rStyle w:val="Lienhypertexte"/>
                <w:noProof/>
              </w:rPr>
              <w:t>5.</w:t>
            </w:r>
            <w:r>
              <w:rPr>
                <w:rFonts w:asciiTheme="minorHAnsi" w:eastAsiaTheme="minorEastAsia" w:hAnsiTheme="minorHAnsi"/>
                <w:noProof/>
                <w:kern w:val="2"/>
                <w:sz w:val="24"/>
                <w:szCs w:val="24"/>
                <w:lang w:val="en-US"/>
                <w14:ligatures w14:val="standardContextual"/>
              </w:rPr>
              <w:tab/>
            </w:r>
            <w:r w:rsidRPr="00455E0F">
              <w:rPr>
                <w:rStyle w:val="Lienhypertexte"/>
                <w:noProof/>
              </w:rPr>
              <w:t>Un revenu net catégoriel</w:t>
            </w:r>
            <w:r>
              <w:rPr>
                <w:noProof/>
                <w:webHidden/>
              </w:rPr>
              <w:tab/>
            </w:r>
            <w:r>
              <w:rPr>
                <w:noProof/>
                <w:webHidden/>
              </w:rPr>
              <w:fldChar w:fldCharType="begin"/>
            </w:r>
            <w:r>
              <w:rPr>
                <w:noProof/>
                <w:webHidden/>
              </w:rPr>
              <w:instrText xml:space="preserve"> PAGEREF _Toc233204931 \h </w:instrText>
            </w:r>
            <w:r>
              <w:rPr>
                <w:noProof/>
                <w:webHidden/>
              </w:rPr>
            </w:r>
            <w:r>
              <w:rPr>
                <w:noProof/>
                <w:webHidden/>
              </w:rPr>
              <w:fldChar w:fldCharType="separate"/>
            </w:r>
            <w:r>
              <w:rPr>
                <w:noProof/>
                <w:webHidden/>
              </w:rPr>
              <w:t>6</w:t>
            </w:r>
            <w:r>
              <w:rPr>
                <w:noProof/>
                <w:webHidden/>
              </w:rPr>
              <w:fldChar w:fldCharType="end"/>
            </w:r>
          </w:hyperlink>
        </w:p>
        <w:p w14:paraId="06A85B59" w14:textId="1C322ABA"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32" w:history="1">
            <w:r w:rsidRPr="00455E0F">
              <w:rPr>
                <w:rStyle w:val="Lienhypertexte"/>
                <w:noProof/>
              </w:rPr>
              <w:t>6.</w:t>
            </w:r>
            <w:r>
              <w:rPr>
                <w:rFonts w:asciiTheme="minorHAnsi" w:eastAsiaTheme="minorEastAsia" w:hAnsiTheme="minorHAnsi"/>
                <w:noProof/>
                <w:kern w:val="2"/>
                <w:sz w:val="24"/>
                <w:szCs w:val="24"/>
                <w:lang w:val="en-US"/>
                <w14:ligatures w14:val="standardContextual"/>
              </w:rPr>
              <w:tab/>
            </w:r>
            <w:r w:rsidRPr="00455E0F">
              <w:rPr>
                <w:rStyle w:val="Lienhypertexte"/>
                <w:noProof/>
              </w:rPr>
              <w:t>Un revenu brut global</w:t>
            </w:r>
            <w:r>
              <w:rPr>
                <w:noProof/>
                <w:webHidden/>
              </w:rPr>
              <w:tab/>
            </w:r>
            <w:r>
              <w:rPr>
                <w:noProof/>
                <w:webHidden/>
              </w:rPr>
              <w:fldChar w:fldCharType="begin"/>
            </w:r>
            <w:r>
              <w:rPr>
                <w:noProof/>
                <w:webHidden/>
              </w:rPr>
              <w:instrText xml:space="preserve"> PAGEREF _Toc233204932 \h </w:instrText>
            </w:r>
            <w:r>
              <w:rPr>
                <w:noProof/>
                <w:webHidden/>
              </w:rPr>
            </w:r>
            <w:r>
              <w:rPr>
                <w:noProof/>
                <w:webHidden/>
              </w:rPr>
              <w:fldChar w:fldCharType="separate"/>
            </w:r>
            <w:r>
              <w:rPr>
                <w:noProof/>
                <w:webHidden/>
              </w:rPr>
              <w:t>7</w:t>
            </w:r>
            <w:r>
              <w:rPr>
                <w:noProof/>
                <w:webHidden/>
              </w:rPr>
              <w:fldChar w:fldCharType="end"/>
            </w:r>
          </w:hyperlink>
        </w:p>
        <w:p w14:paraId="03C5288C" w14:textId="0244F08D"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33" w:history="1">
            <w:r w:rsidRPr="00455E0F">
              <w:rPr>
                <w:rStyle w:val="Lienhypertexte"/>
                <w:noProof/>
              </w:rPr>
              <w:t>7.</w:t>
            </w:r>
            <w:r>
              <w:rPr>
                <w:rFonts w:asciiTheme="minorHAnsi" w:eastAsiaTheme="minorEastAsia" w:hAnsiTheme="minorHAnsi"/>
                <w:noProof/>
                <w:kern w:val="2"/>
                <w:sz w:val="24"/>
                <w:szCs w:val="24"/>
                <w:lang w:val="en-US"/>
                <w14:ligatures w14:val="standardContextual"/>
              </w:rPr>
              <w:tab/>
            </w:r>
            <w:r w:rsidRPr="00455E0F">
              <w:rPr>
                <w:rStyle w:val="Lienhypertexte"/>
                <w:noProof/>
              </w:rPr>
              <w:t>Un revenu fiscal de référence</w:t>
            </w:r>
            <w:r>
              <w:rPr>
                <w:noProof/>
                <w:webHidden/>
              </w:rPr>
              <w:tab/>
            </w:r>
            <w:r>
              <w:rPr>
                <w:noProof/>
                <w:webHidden/>
              </w:rPr>
              <w:fldChar w:fldCharType="begin"/>
            </w:r>
            <w:r>
              <w:rPr>
                <w:noProof/>
                <w:webHidden/>
              </w:rPr>
              <w:instrText xml:space="preserve"> PAGEREF _Toc233204933 \h </w:instrText>
            </w:r>
            <w:r>
              <w:rPr>
                <w:noProof/>
                <w:webHidden/>
              </w:rPr>
            </w:r>
            <w:r>
              <w:rPr>
                <w:noProof/>
                <w:webHidden/>
              </w:rPr>
              <w:fldChar w:fldCharType="separate"/>
            </w:r>
            <w:r>
              <w:rPr>
                <w:noProof/>
                <w:webHidden/>
              </w:rPr>
              <w:t>7</w:t>
            </w:r>
            <w:r>
              <w:rPr>
                <w:noProof/>
                <w:webHidden/>
              </w:rPr>
              <w:fldChar w:fldCharType="end"/>
            </w:r>
          </w:hyperlink>
        </w:p>
        <w:p w14:paraId="3DB133B7" w14:textId="38FADB8C"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34" w:history="1">
            <w:r w:rsidRPr="00455E0F">
              <w:rPr>
                <w:rStyle w:val="Lienhypertexte"/>
                <w:noProof/>
              </w:rPr>
              <w:t>8.</w:t>
            </w:r>
            <w:r>
              <w:rPr>
                <w:rFonts w:asciiTheme="minorHAnsi" w:eastAsiaTheme="minorEastAsia" w:hAnsiTheme="minorHAnsi"/>
                <w:noProof/>
                <w:kern w:val="2"/>
                <w:sz w:val="24"/>
                <w:szCs w:val="24"/>
                <w:lang w:val="en-US"/>
                <w14:ligatures w14:val="standardContextual"/>
              </w:rPr>
              <w:tab/>
            </w:r>
            <w:r w:rsidRPr="00455E0F">
              <w:rPr>
                <w:rStyle w:val="Lienhypertexte"/>
                <w:noProof/>
              </w:rPr>
              <w:t>Le principe de la progressivité de l’impôt</w:t>
            </w:r>
            <w:r>
              <w:rPr>
                <w:noProof/>
                <w:webHidden/>
              </w:rPr>
              <w:tab/>
            </w:r>
            <w:r>
              <w:rPr>
                <w:noProof/>
                <w:webHidden/>
              </w:rPr>
              <w:fldChar w:fldCharType="begin"/>
            </w:r>
            <w:r>
              <w:rPr>
                <w:noProof/>
                <w:webHidden/>
              </w:rPr>
              <w:instrText xml:space="preserve"> PAGEREF _Toc233204934 \h </w:instrText>
            </w:r>
            <w:r>
              <w:rPr>
                <w:noProof/>
                <w:webHidden/>
              </w:rPr>
            </w:r>
            <w:r>
              <w:rPr>
                <w:noProof/>
                <w:webHidden/>
              </w:rPr>
              <w:fldChar w:fldCharType="separate"/>
            </w:r>
            <w:r>
              <w:rPr>
                <w:noProof/>
                <w:webHidden/>
              </w:rPr>
              <w:t>7</w:t>
            </w:r>
            <w:r>
              <w:rPr>
                <w:noProof/>
                <w:webHidden/>
              </w:rPr>
              <w:fldChar w:fldCharType="end"/>
            </w:r>
          </w:hyperlink>
        </w:p>
        <w:p w14:paraId="5219B771" w14:textId="5146BEEE" w:rsidR="008B6FD2" w:rsidRDefault="008B6FD2" w:rsidP="000D53DF">
          <w:pPr>
            <w:pStyle w:val="TM1"/>
            <w:rPr>
              <w:rFonts w:asciiTheme="minorHAnsi" w:eastAsiaTheme="minorEastAsia" w:hAnsiTheme="minorHAnsi"/>
              <w:kern w:val="2"/>
              <w:sz w:val="24"/>
              <w:szCs w:val="24"/>
              <w:lang w:val="en-US"/>
              <w14:ligatures w14:val="standardContextual"/>
            </w:rPr>
          </w:pPr>
          <w:hyperlink w:anchor="_Toc233204935" w:history="1">
            <w:r w:rsidRPr="00455E0F">
              <w:rPr>
                <w:rStyle w:val="Lienhypertexte"/>
              </w:rPr>
              <w:t>II.</w:t>
            </w:r>
            <w:r>
              <w:rPr>
                <w:rFonts w:asciiTheme="minorHAnsi" w:eastAsiaTheme="minorEastAsia" w:hAnsiTheme="minorHAnsi"/>
                <w:kern w:val="2"/>
                <w:sz w:val="24"/>
                <w:szCs w:val="24"/>
                <w:lang w:val="en-US"/>
                <w14:ligatures w14:val="standardContextual"/>
              </w:rPr>
              <w:tab/>
            </w:r>
            <w:r w:rsidRPr="00455E0F">
              <w:rPr>
                <w:rStyle w:val="Lienhypertexte"/>
              </w:rPr>
              <w:t>La territorialité de l’impôt</w:t>
            </w:r>
            <w:r>
              <w:rPr>
                <w:webHidden/>
              </w:rPr>
              <w:tab/>
            </w:r>
            <w:r>
              <w:rPr>
                <w:webHidden/>
              </w:rPr>
              <w:fldChar w:fldCharType="begin"/>
            </w:r>
            <w:r>
              <w:rPr>
                <w:webHidden/>
              </w:rPr>
              <w:instrText xml:space="preserve"> PAGEREF _Toc233204935 \h </w:instrText>
            </w:r>
            <w:r>
              <w:rPr>
                <w:webHidden/>
              </w:rPr>
            </w:r>
            <w:r>
              <w:rPr>
                <w:webHidden/>
              </w:rPr>
              <w:fldChar w:fldCharType="separate"/>
            </w:r>
            <w:r>
              <w:rPr>
                <w:webHidden/>
              </w:rPr>
              <w:t>10</w:t>
            </w:r>
            <w:r>
              <w:rPr>
                <w:webHidden/>
              </w:rPr>
              <w:fldChar w:fldCharType="end"/>
            </w:r>
          </w:hyperlink>
        </w:p>
        <w:p w14:paraId="3F9F3A39" w14:textId="00013108" w:rsidR="008B6FD2" w:rsidRDefault="008B6FD2" w:rsidP="000D53DF">
          <w:pPr>
            <w:pStyle w:val="TM1"/>
            <w:rPr>
              <w:rFonts w:asciiTheme="minorHAnsi" w:eastAsiaTheme="minorEastAsia" w:hAnsiTheme="minorHAnsi"/>
              <w:kern w:val="2"/>
              <w:sz w:val="24"/>
              <w:szCs w:val="24"/>
              <w:lang w:val="en-US"/>
              <w14:ligatures w14:val="standardContextual"/>
            </w:rPr>
          </w:pPr>
          <w:hyperlink w:anchor="_Toc233204936" w:history="1">
            <w:r w:rsidRPr="00455E0F">
              <w:rPr>
                <w:rStyle w:val="Lienhypertexte"/>
              </w:rPr>
              <w:t>III.</w:t>
            </w:r>
            <w:r>
              <w:rPr>
                <w:rFonts w:asciiTheme="minorHAnsi" w:eastAsiaTheme="minorEastAsia" w:hAnsiTheme="minorHAnsi"/>
                <w:kern w:val="2"/>
                <w:sz w:val="24"/>
                <w:szCs w:val="24"/>
                <w:lang w:val="en-US"/>
                <w14:ligatures w14:val="standardContextual"/>
              </w:rPr>
              <w:tab/>
            </w:r>
            <w:r w:rsidRPr="00455E0F">
              <w:rPr>
                <w:rStyle w:val="Lienhypertexte"/>
              </w:rPr>
              <w:t>Les revenus catégoriels</w:t>
            </w:r>
            <w:r>
              <w:rPr>
                <w:webHidden/>
              </w:rPr>
              <w:tab/>
            </w:r>
            <w:r>
              <w:rPr>
                <w:webHidden/>
              </w:rPr>
              <w:fldChar w:fldCharType="begin"/>
            </w:r>
            <w:r>
              <w:rPr>
                <w:webHidden/>
              </w:rPr>
              <w:instrText xml:space="preserve"> PAGEREF _Toc233204936 \h </w:instrText>
            </w:r>
            <w:r>
              <w:rPr>
                <w:webHidden/>
              </w:rPr>
            </w:r>
            <w:r>
              <w:rPr>
                <w:webHidden/>
              </w:rPr>
              <w:fldChar w:fldCharType="separate"/>
            </w:r>
            <w:r>
              <w:rPr>
                <w:webHidden/>
              </w:rPr>
              <w:t>14</w:t>
            </w:r>
            <w:r>
              <w:rPr>
                <w:webHidden/>
              </w:rPr>
              <w:fldChar w:fldCharType="end"/>
            </w:r>
          </w:hyperlink>
        </w:p>
        <w:p w14:paraId="5A89842F" w14:textId="6FFE2D0F"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37" w:history="1">
            <w:r w:rsidRPr="00455E0F">
              <w:rPr>
                <w:rStyle w:val="Lienhypertexte"/>
                <w:noProof/>
              </w:rPr>
              <w:t>1.</w:t>
            </w:r>
            <w:r>
              <w:rPr>
                <w:rFonts w:asciiTheme="minorHAnsi" w:eastAsiaTheme="minorEastAsia" w:hAnsiTheme="minorHAnsi"/>
                <w:noProof/>
                <w:kern w:val="2"/>
                <w:sz w:val="24"/>
                <w:szCs w:val="24"/>
                <w:lang w:val="en-US"/>
                <w14:ligatures w14:val="standardContextual"/>
              </w:rPr>
              <w:tab/>
            </w:r>
            <w:r w:rsidRPr="00455E0F">
              <w:rPr>
                <w:rStyle w:val="Lienhypertexte"/>
                <w:noProof/>
              </w:rPr>
              <w:t>Revenus salariaux et assimilés</w:t>
            </w:r>
            <w:r>
              <w:rPr>
                <w:noProof/>
                <w:webHidden/>
              </w:rPr>
              <w:tab/>
            </w:r>
            <w:r>
              <w:rPr>
                <w:noProof/>
                <w:webHidden/>
              </w:rPr>
              <w:fldChar w:fldCharType="begin"/>
            </w:r>
            <w:r>
              <w:rPr>
                <w:noProof/>
                <w:webHidden/>
              </w:rPr>
              <w:instrText xml:space="preserve"> PAGEREF _Toc233204937 \h </w:instrText>
            </w:r>
            <w:r>
              <w:rPr>
                <w:noProof/>
                <w:webHidden/>
              </w:rPr>
            </w:r>
            <w:r>
              <w:rPr>
                <w:noProof/>
                <w:webHidden/>
              </w:rPr>
              <w:fldChar w:fldCharType="separate"/>
            </w:r>
            <w:r>
              <w:rPr>
                <w:noProof/>
                <w:webHidden/>
              </w:rPr>
              <w:t>15</w:t>
            </w:r>
            <w:r>
              <w:rPr>
                <w:noProof/>
                <w:webHidden/>
              </w:rPr>
              <w:fldChar w:fldCharType="end"/>
            </w:r>
          </w:hyperlink>
        </w:p>
        <w:p w14:paraId="68A0D2FE" w14:textId="57F17D29"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38" w:history="1">
            <w:r w:rsidRPr="00455E0F">
              <w:rPr>
                <w:rStyle w:val="Lienhypertexte"/>
                <w:noProof/>
              </w:rPr>
              <w:t>A.</w:t>
            </w:r>
            <w:r>
              <w:rPr>
                <w:rFonts w:asciiTheme="minorHAnsi" w:eastAsiaTheme="minorEastAsia" w:hAnsiTheme="minorHAnsi"/>
                <w:noProof/>
                <w:kern w:val="2"/>
                <w:sz w:val="24"/>
                <w:szCs w:val="24"/>
                <w:lang w:val="en-US"/>
                <w14:ligatures w14:val="standardContextual"/>
              </w:rPr>
              <w:tab/>
            </w:r>
            <w:r w:rsidRPr="00455E0F">
              <w:rPr>
                <w:rStyle w:val="Lienhypertexte"/>
                <w:noProof/>
              </w:rPr>
              <w:t>Les revenus salariaux</w:t>
            </w:r>
            <w:r>
              <w:rPr>
                <w:noProof/>
                <w:webHidden/>
              </w:rPr>
              <w:tab/>
            </w:r>
            <w:r>
              <w:rPr>
                <w:noProof/>
                <w:webHidden/>
              </w:rPr>
              <w:fldChar w:fldCharType="begin"/>
            </w:r>
            <w:r>
              <w:rPr>
                <w:noProof/>
                <w:webHidden/>
              </w:rPr>
              <w:instrText xml:space="preserve"> PAGEREF _Toc233204938 \h </w:instrText>
            </w:r>
            <w:r>
              <w:rPr>
                <w:noProof/>
                <w:webHidden/>
              </w:rPr>
            </w:r>
            <w:r>
              <w:rPr>
                <w:noProof/>
                <w:webHidden/>
              </w:rPr>
              <w:fldChar w:fldCharType="separate"/>
            </w:r>
            <w:r>
              <w:rPr>
                <w:noProof/>
                <w:webHidden/>
              </w:rPr>
              <w:t>15</w:t>
            </w:r>
            <w:r>
              <w:rPr>
                <w:noProof/>
                <w:webHidden/>
              </w:rPr>
              <w:fldChar w:fldCharType="end"/>
            </w:r>
          </w:hyperlink>
        </w:p>
        <w:p w14:paraId="7CCB44E5" w14:textId="5D98B298"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39" w:history="1">
            <w:r w:rsidRPr="00455E0F">
              <w:rPr>
                <w:rStyle w:val="Lienhypertexte"/>
                <w:noProof/>
              </w:rPr>
              <w:t>B.</w:t>
            </w:r>
            <w:r>
              <w:rPr>
                <w:rFonts w:asciiTheme="minorHAnsi" w:eastAsiaTheme="minorEastAsia" w:hAnsiTheme="minorHAnsi"/>
                <w:noProof/>
                <w:kern w:val="2"/>
                <w:sz w:val="24"/>
                <w:szCs w:val="24"/>
                <w:lang w:val="en-US"/>
                <w14:ligatures w14:val="standardContextual"/>
              </w:rPr>
              <w:tab/>
            </w:r>
            <w:r w:rsidRPr="00455E0F">
              <w:rPr>
                <w:rStyle w:val="Lienhypertexte"/>
                <w:noProof/>
              </w:rPr>
              <w:t>Les avantages en nature</w:t>
            </w:r>
            <w:r>
              <w:rPr>
                <w:noProof/>
                <w:webHidden/>
              </w:rPr>
              <w:tab/>
            </w:r>
            <w:r>
              <w:rPr>
                <w:noProof/>
                <w:webHidden/>
              </w:rPr>
              <w:fldChar w:fldCharType="begin"/>
            </w:r>
            <w:r>
              <w:rPr>
                <w:noProof/>
                <w:webHidden/>
              </w:rPr>
              <w:instrText xml:space="preserve"> PAGEREF _Toc233204939 \h </w:instrText>
            </w:r>
            <w:r>
              <w:rPr>
                <w:noProof/>
                <w:webHidden/>
              </w:rPr>
            </w:r>
            <w:r>
              <w:rPr>
                <w:noProof/>
                <w:webHidden/>
              </w:rPr>
              <w:fldChar w:fldCharType="separate"/>
            </w:r>
            <w:r>
              <w:rPr>
                <w:noProof/>
                <w:webHidden/>
              </w:rPr>
              <w:t>17</w:t>
            </w:r>
            <w:r>
              <w:rPr>
                <w:noProof/>
                <w:webHidden/>
              </w:rPr>
              <w:fldChar w:fldCharType="end"/>
            </w:r>
          </w:hyperlink>
        </w:p>
        <w:p w14:paraId="1D1EF13E" w14:textId="4987555A"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40" w:history="1">
            <w:r w:rsidRPr="00455E0F">
              <w:rPr>
                <w:rStyle w:val="Lienhypertexte"/>
                <w:noProof/>
              </w:rPr>
              <w:t>2.</w:t>
            </w:r>
            <w:r>
              <w:rPr>
                <w:rFonts w:asciiTheme="minorHAnsi" w:eastAsiaTheme="minorEastAsia" w:hAnsiTheme="minorHAnsi"/>
                <w:noProof/>
                <w:kern w:val="2"/>
                <w:sz w:val="24"/>
                <w:szCs w:val="24"/>
                <w:lang w:val="en-US"/>
                <w14:ligatures w14:val="standardContextual"/>
              </w:rPr>
              <w:tab/>
            </w:r>
            <w:r w:rsidRPr="00455E0F">
              <w:rPr>
                <w:rStyle w:val="Lienhypertexte"/>
                <w:noProof/>
              </w:rPr>
              <w:t>Pensions et rentes viagères</w:t>
            </w:r>
            <w:r>
              <w:rPr>
                <w:noProof/>
                <w:webHidden/>
              </w:rPr>
              <w:tab/>
            </w:r>
            <w:r>
              <w:rPr>
                <w:noProof/>
                <w:webHidden/>
              </w:rPr>
              <w:fldChar w:fldCharType="begin"/>
            </w:r>
            <w:r>
              <w:rPr>
                <w:noProof/>
                <w:webHidden/>
              </w:rPr>
              <w:instrText xml:space="preserve"> PAGEREF _Toc233204940 \h </w:instrText>
            </w:r>
            <w:r>
              <w:rPr>
                <w:noProof/>
                <w:webHidden/>
              </w:rPr>
            </w:r>
            <w:r>
              <w:rPr>
                <w:noProof/>
                <w:webHidden/>
              </w:rPr>
              <w:fldChar w:fldCharType="separate"/>
            </w:r>
            <w:r>
              <w:rPr>
                <w:noProof/>
                <w:webHidden/>
              </w:rPr>
              <w:t>19</w:t>
            </w:r>
            <w:r>
              <w:rPr>
                <w:noProof/>
                <w:webHidden/>
              </w:rPr>
              <w:fldChar w:fldCharType="end"/>
            </w:r>
          </w:hyperlink>
        </w:p>
        <w:p w14:paraId="4719884D" w14:textId="6B0C44DD"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41" w:history="1">
            <w:r w:rsidRPr="00455E0F">
              <w:rPr>
                <w:rStyle w:val="Lienhypertexte"/>
                <w:noProof/>
              </w:rPr>
              <w:t>A.</w:t>
            </w:r>
            <w:r>
              <w:rPr>
                <w:rFonts w:asciiTheme="minorHAnsi" w:eastAsiaTheme="minorEastAsia" w:hAnsiTheme="minorHAnsi"/>
                <w:noProof/>
                <w:kern w:val="2"/>
                <w:sz w:val="24"/>
                <w:szCs w:val="24"/>
                <w:lang w:val="en-US"/>
                <w14:ligatures w14:val="standardContextual"/>
              </w:rPr>
              <w:tab/>
            </w:r>
            <w:r w:rsidRPr="00455E0F">
              <w:rPr>
                <w:rStyle w:val="Lienhypertexte"/>
                <w:noProof/>
              </w:rPr>
              <w:t>Les pensions, retraites et rentes viagères à titre gratuit</w:t>
            </w:r>
            <w:r>
              <w:rPr>
                <w:noProof/>
                <w:webHidden/>
              </w:rPr>
              <w:tab/>
            </w:r>
            <w:r>
              <w:rPr>
                <w:noProof/>
                <w:webHidden/>
              </w:rPr>
              <w:fldChar w:fldCharType="begin"/>
            </w:r>
            <w:r>
              <w:rPr>
                <w:noProof/>
                <w:webHidden/>
              </w:rPr>
              <w:instrText xml:space="preserve"> PAGEREF _Toc233204941 \h </w:instrText>
            </w:r>
            <w:r>
              <w:rPr>
                <w:noProof/>
                <w:webHidden/>
              </w:rPr>
            </w:r>
            <w:r>
              <w:rPr>
                <w:noProof/>
                <w:webHidden/>
              </w:rPr>
              <w:fldChar w:fldCharType="separate"/>
            </w:r>
            <w:r>
              <w:rPr>
                <w:noProof/>
                <w:webHidden/>
              </w:rPr>
              <w:t>19</w:t>
            </w:r>
            <w:r>
              <w:rPr>
                <w:noProof/>
                <w:webHidden/>
              </w:rPr>
              <w:fldChar w:fldCharType="end"/>
            </w:r>
          </w:hyperlink>
        </w:p>
        <w:p w14:paraId="398ED554" w14:textId="280A8FAD"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42" w:history="1">
            <w:r w:rsidRPr="00455E0F">
              <w:rPr>
                <w:rStyle w:val="Lienhypertexte"/>
                <w:noProof/>
              </w:rPr>
              <w:t>B.</w:t>
            </w:r>
            <w:r>
              <w:rPr>
                <w:rFonts w:asciiTheme="minorHAnsi" w:eastAsiaTheme="minorEastAsia" w:hAnsiTheme="minorHAnsi"/>
                <w:noProof/>
                <w:kern w:val="2"/>
                <w:sz w:val="24"/>
                <w:szCs w:val="24"/>
                <w:lang w:val="en-US"/>
                <w14:ligatures w14:val="standardContextual"/>
              </w:rPr>
              <w:tab/>
            </w:r>
            <w:r w:rsidRPr="00455E0F">
              <w:rPr>
                <w:rStyle w:val="Lienhypertexte"/>
                <w:noProof/>
              </w:rPr>
              <w:t>Les rentes viagères à titre onéreux</w:t>
            </w:r>
            <w:r>
              <w:rPr>
                <w:noProof/>
                <w:webHidden/>
              </w:rPr>
              <w:tab/>
            </w:r>
            <w:r>
              <w:rPr>
                <w:noProof/>
                <w:webHidden/>
              </w:rPr>
              <w:fldChar w:fldCharType="begin"/>
            </w:r>
            <w:r>
              <w:rPr>
                <w:noProof/>
                <w:webHidden/>
              </w:rPr>
              <w:instrText xml:space="preserve"> PAGEREF _Toc233204942 \h </w:instrText>
            </w:r>
            <w:r>
              <w:rPr>
                <w:noProof/>
                <w:webHidden/>
              </w:rPr>
            </w:r>
            <w:r>
              <w:rPr>
                <w:noProof/>
                <w:webHidden/>
              </w:rPr>
              <w:fldChar w:fldCharType="separate"/>
            </w:r>
            <w:r>
              <w:rPr>
                <w:noProof/>
                <w:webHidden/>
              </w:rPr>
              <w:t>19</w:t>
            </w:r>
            <w:r>
              <w:rPr>
                <w:noProof/>
                <w:webHidden/>
              </w:rPr>
              <w:fldChar w:fldCharType="end"/>
            </w:r>
          </w:hyperlink>
        </w:p>
        <w:p w14:paraId="379ACBD0" w14:textId="24819D81"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43" w:history="1">
            <w:r w:rsidRPr="00455E0F">
              <w:rPr>
                <w:rStyle w:val="Lienhypertexte"/>
                <w:noProof/>
              </w:rPr>
              <w:t>3.</w:t>
            </w:r>
            <w:r>
              <w:rPr>
                <w:rFonts w:asciiTheme="minorHAnsi" w:eastAsiaTheme="minorEastAsia" w:hAnsiTheme="minorHAnsi"/>
                <w:noProof/>
                <w:kern w:val="2"/>
                <w:sz w:val="24"/>
                <w:szCs w:val="24"/>
                <w:lang w:val="en-US"/>
                <w14:ligatures w14:val="standardContextual"/>
              </w:rPr>
              <w:tab/>
            </w:r>
            <w:r w:rsidRPr="00455E0F">
              <w:rPr>
                <w:rStyle w:val="Lienhypertexte"/>
                <w:noProof/>
              </w:rPr>
              <w:t>Revenus de capitaux mobiliers</w:t>
            </w:r>
            <w:r>
              <w:rPr>
                <w:noProof/>
                <w:webHidden/>
              </w:rPr>
              <w:tab/>
            </w:r>
            <w:r>
              <w:rPr>
                <w:noProof/>
                <w:webHidden/>
              </w:rPr>
              <w:fldChar w:fldCharType="begin"/>
            </w:r>
            <w:r>
              <w:rPr>
                <w:noProof/>
                <w:webHidden/>
              </w:rPr>
              <w:instrText xml:space="preserve"> PAGEREF _Toc233204943 \h </w:instrText>
            </w:r>
            <w:r>
              <w:rPr>
                <w:noProof/>
                <w:webHidden/>
              </w:rPr>
            </w:r>
            <w:r>
              <w:rPr>
                <w:noProof/>
                <w:webHidden/>
              </w:rPr>
              <w:fldChar w:fldCharType="separate"/>
            </w:r>
            <w:r>
              <w:rPr>
                <w:noProof/>
                <w:webHidden/>
              </w:rPr>
              <w:t>20</w:t>
            </w:r>
            <w:r>
              <w:rPr>
                <w:noProof/>
                <w:webHidden/>
              </w:rPr>
              <w:fldChar w:fldCharType="end"/>
            </w:r>
          </w:hyperlink>
        </w:p>
        <w:p w14:paraId="4889AB4D" w14:textId="349CE826"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44" w:history="1">
            <w:r w:rsidRPr="00455E0F">
              <w:rPr>
                <w:rStyle w:val="Lienhypertexte"/>
                <w:noProof/>
              </w:rPr>
              <w:t>A.</w:t>
            </w:r>
            <w:r>
              <w:rPr>
                <w:rFonts w:asciiTheme="minorHAnsi" w:eastAsiaTheme="minorEastAsia" w:hAnsiTheme="minorHAnsi"/>
                <w:noProof/>
                <w:kern w:val="2"/>
                <w:sz w:val="24"/>
                <w:szCs w:val="24"/>
                <w:lang w:val="en-US"/>
                <w14:ligatures w14:val="standardContextual"/>
              </w:rPr>
              <w:tab/>
            </w:r>
            <w:r w:rsidRPr="00455E0F">
              <w:rPr>
                <w:rStyle w:val="Lienhypertexte"/>
                <w:noProof/>
              </w:rPr>
              <w:t>La fiscalité des revenus d’actions françaises</w:t>
            </w:r>
            <w:r>
              <w:rPr>
                <w:noProof/>
                <w:webHidden/>
              </w:rPr>
              <w:tab/>
            </w:r>
            <w:r>
              <w:rPr>
                <w:noProof/>
                <w:webHidden/>
              </w:rPr>
              <w:fldChar w:fldCharType="begin"/>
            </w:r>
            <w:r>
              <w:rPr>
                <w:noProof/>
                <w:webHidden/>
              </w:rPr>
              <w:instrText xml:space="preserve"> PAGEREF _Toc233204944 \h </w:instrText>
            </w:r>
            <w:r>
              <w:rPr>
                <w:noProof/>
                <w:webHidden/>
              </w:rPr>
            </w:r>
            <w:r>
              <w:rPr>
                <w:noProof/>
                <w:webHidden/>
              </w:rPr>
              <w:fldChar w:fldCharType="separate"/>
            </w:r>
            <w:r>
              <w:rPr>
                <w:noProof/>
                <w:webHidden/>
              </w:rPr>
              <w:t>20</w:t>
            </w:r>
            <w:r>
              <w:rPr>
                <w:noProof/>
                <w:webHidden/>
              </w:rPr>
              <w:fldChar w:fldCharType="end"/>
            </w:r>
          </w:hyperlink>
        </w:p>
        <w:p w14:paraId="647D8069" w14:textId="6F4EDA80"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45" w:history="1">
            <w:r w:rsidRPr="00455E0F">
              <w:rPr>
                <w:rStyle w:val="Lienhypertexte"/>
                <w:noProof/>
              </w:rPr>
              <w:t>B.</w:t>
            </w:r>
            <w:r>
              <w:rPr>
                <w:rFonts w:asciiTheme="minorHAnsi" w:eastAsiaTheme="minorEastAsia" w:hAnsiTheme="minorHAnsi"/>
                <w:noProof/>
                <w:kern w:val="2"/>
                <w:sz w:val="24"/>
                <w:szCs w:val="24"/>
                <w:lang w:val="en-US"/>
                <w14:ligatures w14:val="standardContextual"/>
              </w:rPr>
              <w:tab/>
            </w:r>
            <w:r w:rsidRPr="00455E0F">
              <w:rPr>
                <w:rStyle w:val="Lienhypertexte"/>
                <w:noProof/>
              </w:rPr>
              <w:t>La fiscalité des revenus d’obligations françaises</w:t>
            </w:r>
            <w:r>
              <w:rPr>
                <w:noProof/>
                <w:webHidden/>
              </w:rPr>
              <w:tab/>
            </w:r>
            <w:r>
              <w:rPr>
                <w:noProof/>
                <w:webHidden/>
              </w:rPr>
              <w:fldChar w:fldCharType="begin"/>
            </w:r>
            <w:r>
              <w:rPr>
                <w:noProof/>
                <w:webHidden/>
              </w:rPr>
              <w:instrText xml:space="preserve"> PAGEREF _Toc233204945 \h </w:instrText>
            </w:r>
            <w:r>
              <w:rPr>
                <w:noProof/>
                <w:webHidden/>
              </w:rPr>
            </w:r>
            <w:r>
              <w:rPr>
                <w:noProof/>
                <w:webHidden/>
              </w:rPr>
              <w:fldChar w:fldCharType="separate"/>
            </w:r>
            <w:r>
              <w:rPr>
                <w:noProof/>
                <w:webHidden/>
              </w:rPr>
              <w:t>21</w:t>
            </w:r>
            <w:r>
              <w:rPr>
                <w:noProof/>
                <w:webHidden/>
              </w:rPr>
              <w:fldChar w:fldCharType="end"/>
            </w:r>
          </w:hyperlink>
        </w:p>
        <w:p w14:paraId="3DB43B60" w14:textId="7BE44087"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46" w:history="1">
            <w:r w:rsidRPr="00455E0F">
              <w:rPr>
                <w:rStyle w:val="Lienhypertexte"/>
                <w:noProof/>
              </w:rPr>
              <w:t>C.</w:t>
            </w:r>
            <w:r>
              <w:rPr>
                <w:rFonts w:asciiTheme="minorHAnsi" w:eastAsiaTheme="minorEastAsia" w:hAnsiTheme="minorHAnsi"/>
                <w:noProof/>
                <w:kern w:val="2"/>
                <w:sz w:val="24"/>
                <w:szCs w:val="24"/>
                <w:lang w:val="en-US"/>
                <w14:ligatures w14:val="standardContextual"/>
              </w:rPr>
              <w:tab/>
            </w:r>
            <w:r w:rsidRPr="00455E0F">
              <w:rPr>
                <w:rStyle w:val="Lienhypertexte"/>
                <w:noProof/>
              </w:rPr>
              <w:t>Maintien du caractère libératoire du prélèvement</w:t>
            </w:r>
            <w:r>
              <w:rPr>
                <w:noProof/>
                <w:webHidden/>
              </w:rPr>
              <w:tab/>
            </w:r>
            <w:r>
              <w:rPr>
                <w:noProof/>
                <w:webHidden/>
              </w:rPr>
              <w:fldChar w:fldCharType="begin"/>
            </w:r>
            <w:r>
              <w:rPr>
                <w:noProof/>
                <w:webHidden/>
              </w:rPr>
              <w:instrText xml:space="preserve"> PAGEREF _Toc233204946 \h </w:instrText>
            </w:r>
            <w:r>
              <w:rPr>
                <w:noProof/>
                <w:webHidden/>
              </w:rPr>
            </w:r>
            <w:r>
              <w:rPr>
                <w:noProof/>
                <w:webHidden/>
              </w:rPr>
              <w:fldChar w:fldCharType="separate"/>
            </w:r>
            <w:r>
              <w:rPr>
                <w:noProof/>
                <w:webHidden/>
              </w:rPr>
              <w:t>21</w:t>
            </w:r>
            <w:r>
              <w:rPr>
                <w:noProof/>
                <w:webHidden/>
              </w:rPr>
              <w:fldChar w:fldCharType="end"/>
            </w:r>
          </w:hyperlink>
        </w:p>
        <w:p w14:paraId="465695AF" w14:textId="6F6685F0" w:rsidR="008B6FD2" w:rsidRDefault="008B6FD2">
          <w:pPr>
            <w:pStyle w:val="TM3"/>
            <w:rPr>
              <w:rFonts w:asciiTheme="minorHAnsi" w:eastAsiaTheme="minorEastAsia" w:hAnsiTheme="minorHAnsi"/>
              <w:noProof/>
              <w:kern w:val="2"/>
              <w:sz w:val="24"/>
              <w:szCs w:val="24"/>
              <w:lang w:val="en-US"/>
              <w14:ligatures w14:val="standardContextual"/>
            </w:rPr>
          </w:pPr>
          <w:hyperlink w:anchor="_Toc233204947" w:history="1">
            <w:r w:rsidRPr="00455E0F">
              <w:rPr>
                <w:rStyle w:val="Lienhypertexte"/>
                <w:noProof/>
              </w:rPr>
              <w:t>D.</w:t>
            </w:r>
            <w:r>
              <w:rPr>
                <w:rFonts w:asciiTheme="minorHAnsi" w:eastAsiaTheme="minorEastAsia" w:hAnsiTheme="minorHAnsi"/>
                <w:noProof/>
                <w:kern w:val="2"/>
                <w:sz w:val="24"/>
                <w:szCs w:val="24"/>
                <w:lang w:val="en-US"/>
                <w14:ligatures w14:val="standardContextual"/>
              </w:rPr>
              <w:tab/>
            </w:r>
            <w:r w:rsidRPr="00455E0F">
              <w:rPr>
                <w:rStyle w:val="Lienhypertexte"/>
                <w:noProof/>
              </w:rPr>
              <w:t>Valeurs mobilières : la fiscalité des revenus de source étrangère et des OPCVM/FIA</w:t>
            </w:r>
            <w:r>
              <w:rPr>
                <w:noProof/>
                <w:webHidden/>
              </w:rPr>
              <w:tab/>
            </w:r>
            <w:r>
              <w:rPr>
                <w:noProof/>
                <w:webHidden/>
              </w:rPr>
              <w:fldChar w:fldCharType="begin"/>
            </w:r>
            <w:r>
              <w:rPr>
                <w:noProof/>
                <w:webHidden/>
              </w:rPr>
              <w:instrText xml:space="preserve"> PAGEREF _Toc233204947 \h </w:instrText>
            </w:r>
            <w:r>
              <w:rPr>
                <w:noProof/>
                <w:webHidden/>
              </w:rPr>
            </w:r>
            <w:r>
              <w:rPr>
                <w:noProof/>
                <w:webHidden/>
              </w:rPr>
              <w:fldChar w:fldCharType="separate"/>
            </w:r>
            <w:r>
              <w:rPr>
                <w:noProof/>
                <w:webHidden/>
              </w:rPr>
              <w:t>23</w:t>
            </w:r>
            <w:r>
              <w:rPr>
                <w:noProof/>
                <w:webHidden/>
              </w:rPr>
              <w:fldChar w:fldCharType="end"/>
            </w:r>
          </w:hyperlink>
        </w:p>
        <w:p w14:paraId="02B9432E" w14:textId="20D21203"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48" w:history="1">
            <w:r w:rsidRPr="00455E0F">
              <w:rPr>
                <w:rStyle w:val="Lienhypertexte"/>
                <w:noProof/>
              </w:rPr>
              <w:t>4.</w:t>
            </w:r>
            <w:r>
              <w:rPr>
                <w:rFonts w:asciiTheme="minorHAnsi" w:eastAsiaTheme="minorEastAsia" w:hAnsiTheme="minorHAnsi"/>
                <w:noProof/>
                <w:kern w:val="2"/>
                <w:sz w:val="24"/>
                <w:szCs w:val="24"/>
                <w:lang w:val="en-US"/>
                <w14:ligatures w14:val="standardContextual"/>
              </w:rPr>
              <w:tab/>
            </w:r>
            <w:r w:rsidRPr="00455E0F">
              <w:rPr>
                <w:rStyle w:val="Lienhypertexte"/>
                <w:noProof/>
              </w:rPr>
              <w:t>Les bénéfices industriels et commerciaux (BIC)</w:t>
            </w:r>
            <w:r>
              <w:rPr>
                <w:noProof/>
                <w:webHidden/>
              </w:rPr>
              <w:tab/>
            </w:r>
            <w:r>
              <w:rPr>
                <w:noProof/>
                <w:webHidden/>
              </w:rPr>
              <w:fldChar w:fldCharType="begin"/>
            </w:r>
            <w:r>
              <w:rPr>
                <w:noProof/>
                <w:webHidden/>
              </w:rPr>
              <w:instrText xml:space="preserve"> PAGEREF _Toc233204948 \h </w:instrText>
            </w:r>
            <w:r>
              <w:rPr>
                <w:noProof/>
                <w:webHidden/>
              </w:rPr>
            </w:r>
            <w:r>
              <w:rPr>
                <w:noProof/>
                <w:webHidden/>
              </w:rPr>
              <w:fldChar w:fldCharType="separate"/>
            </w:r>
            <w:r>
              <w:rPr>
                <w:noProof/>
                <w:webHidden/>
              </w:rPr>
              <w:t>25</w:t>
            </w:r>
            <w:r>
              <w:rPr>
                <w:noProof/>
                <w:webHidden/>
              </w:rPr>
              <w:fldChar w:fldCharType="end"/>
            </w:r>
          </w:hyperlink>
        </w:p>
        <w:p w14:paraId="1852DEB5" w14:textId="2EEC83A6"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49" w:history="1">
            <w:r w:rsidRPr="00455E0F">
              <w:rPr>
                <w:rStyle w:val="Lienhypertexte"/>
                <w:noProof/>
              </w:rPr>
              <w:t>5.</w:t>
            </w:r>
            <w:r>
              <w:rPr>
                <w:rFonts w:asciiTheme="minorHAnsi" w:eastAsiaTheme="minorEastAsia" w:hAnsiTheme="minorHAnsi"/>
                <w:noProof/>
                <w:kern w:val="2"/>
                <w:sz w:val="24"/>
                <w:szCs w:val="24"/>
                <w:lang w:val="en-US"/>
                <w14:ligatures w14:val="standardContextual"/>
              </w:rPr>
              <w:tab/>
            </w:r>
            <w:r w:rsidRPr="00455E0F">
              <w:rPr>
                <w:rStyle w:val="Lienhypertexte"/>
                <w:noProof/>
              </w:rPr>
              <w:t>Les bénéfices non commerciaux (BNC)</w:t>
            </w:r>
            <w:r>
              <w:rPr>
                <w:noProof/>
                <w:webHidden/>
              </w:rPr>
              <w:tab/>
            </w:r>
            <w:r>
              <w:rPr>
                <w:noProof/>
                <w:webHidden/>
              </w:rPr>
              <w:fldChar w:fldCharType="begin"/>
            </w:r>
            <w:r>
              <w:rPr>
                <w:noProof/>
                <w:webHidden/>
              </w:rPr>
              <w:instrText xml:space="preserve"> PAGEREF _Toc233204949 \h </w:instrText>
            </w:r>
            <w:r>
              <w:rPr>
                <w:noProof/>
                <w:webHidden/>
              </w:rPr>
            </w:r>
            <w:r>
              <w:rPr>
                <w:noProof/>
                <w:webHidden/>
              </w:rPr>
              <w:fldChar w:fldCharType="separate"/>
            </w:r>
            <w:r>
              <w:rPr>
                <w:noProof/>
                <w:webHidden/>
              </w:rPr>
              <w:t>26</w:t>
            </w:r>
            <w:r>
              <w:rPr>
                <w:noProof/>
                <w:webHidden/>
              </w:rPr>
              <w:fldChar w:fldCharType="end"/>
            </w:r>
          </w:hyperlink>
        </w:p>
        <w:p w14:paraId="3E367290" w14:textId="3FC1CD29"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0" w:history="1">
            <w:r w:rsidRPr="00455E0F">
              <w:rPr>
                <w:rStyle w:val="Lienhypertexte"/>
                <w:noProof/>
              </w:rPr>
              <w:t>6.</w:t>
            </w:r>
            <w:r>
              <w:rPr>
                <w:rFonts w:asciiTheme="minorHAnsi" w:eastAsiaTheme="minorEastAsia" w:hAnsiTheme="minorHAnsi"/>
                <w:noProof/>
                <w:kern w:val="2"/>
                <w:sz w:val="24"/>
                <w:szCs w:val="24"/>
                <w:lang w:val="en-US"/>
                <w14:ligatures w14:val="standardContextual"/>
              </w:rPr>
              <w:tab/>
            </w:r>
            <w:r w:rsidRPr="00455E0F">
              <w:rPr>
                <w:rStyle w:val="Lienhypertexte"/>
                <w:noProof/>
              </w:rPr>
              <w:t>Les bénéfices agricoles (BA)</w:t>
            </w:r>
            <w:r>
              <w:rPr>
                <w:noProof/>
                <w:webHidden/>
              </w:rPr>
              <w:tab/>
            </w:r>
            <w:r>
              <w:rPr>
                <w:noProof/>
                <w:webHidden/>
              </w:rPr>
              <w:fldChar w:fldCharType="begin"/>
            </w:r>
            <w:r>
              <w:rPr>
                <w:noProof/>
                <w:webHidden/>
              </w:rPr>
              <w:instrText xml:space="preserve"> PAGEREF _Toc233204950 \h </w:instrText>
            </w:r>
            <w:r>
              <w:rPr>
                <w:noProof/>
                <w:webHidden/>
              </w:rPr>
            </w:r>
            <w:r>
              <w:rPr>
                <w:noProof/>
                <w:webHidden/>
              </w:rPr>
              <w:fldChar w:fldCharType="separate"/>
            </w:r>
            <w:r>
              <w:rPr>
                <w:noProof/>
                <w:webHidden/>
              </w:rPr>
              <w:t>26</w:t>
            </w:r>
            <w:r>
              <w:rPr>
                <w:noProof/>
                <w:webHidden/>
              </w:rPr>
              <w:fldChar w:fldCharType="end"/>
            </w:r>
          </w:hyperlink>
        </w:p>
        <w:p w14:paraId="49D5E09E" w14:textId="59D8D25F" w:rsidR="008B6FD2" w:rsidRDefault="008B6FD2" w:rsidP="000D53DF">
          <w:pPr>
            <w:pStyle w:val="TM1"/>
            <w:rPr>
              <w:rFonts w:asciiTheme="minorHAnsi" w:eastAsiaTheme="minorEastAsia" w:hAnsiTheme="minorHAnsi"/>
              <w:kern w:val="2"/>
              <w:sz w:val="24"/>
              <w:szCs w:val="24"/>
              <w:lang w:val="en-US"/>
              <w14:ligatures w14:val="standardContextual"/>
            </w:rPr>
          </w:pPr>
          <w:hyperlink w:anchor="_Toc233204951" w:history="1">
            <w:r w:rsidRPr="00455E0F">
              <w:rPr>
                <w:rStyle w:val="Lienhypertexte"/>
              </w:rPr>
              <w:t>IV.</w:t>
            </w:r>
            <w:r>
              <w:rPr>
                <w:rFonts w:asciiTheme="minorHAnsi" w:eastAsiaTheme="minorEastAsia" w:hAnsiTheme="minorHAnsi"/>
                <w:kern w:val="2"/>
                <w:sz w:val="24"/>
                <w:szCs w:val="24"/>
                <w:lang w:val="en-US"/>
                <w14:ligatures w14:val="standardContextual"/>
              </w:rPr>
              <w:tab/>
            </w:r>
            <w:r w:rsidRPr="00455E0F">
              <w:rPr>
                <w:rStyle w:val="Lienhypertexte"/>
              </w:rPr>
              <w:t>Le calcul de l’impôt</w:t>
            </w:r>
            <w:r>
              <w:rPr>
                <w:webHidden/>
              </w:rPr>
              <w:tab/>
            </w:r>
            <w:r>
              <w:rPr>
                <w:webHidden/>
              </w:rPr>
              <w:fldChar w:fldCharType="begin"/>
            </w:r>
            <w:r>
              <w:rPr>
                <w:webHidden/>
              </w:rPr>
              <w:instrText xml:space="preserve"> PAGEREF _Toc233204951 \h </w:instrText>
            </w:r>
            <w:r>
              <w:rPr>
                <w:webHidden/>
              </w:rPr>
            </w:r>
            <w:r>
              <w:rPr>
                <w:webHidden/>
              </w:rPr>
              <w:fldChar w:fldCharType="separate"/>
            </w:r>
            <w:r>
              <w:rPr>
                <w:webHidden/>
              </w:rPr>
              <w:t>27</w:t>
            </w:r>
            <w:r>
              <w:rPr>
                <w:webHidden/>
              </w:rPr>
              <w:fldChar w:fldCharType="end"/>
            </w:r>
          </w:hyperlink>
        </w:p>
        <w:p w14:paraId="2D16F33A" w14:textId="486A6C9D"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2" w:history="1">
            <w:r w:rsidRPr="00455E0F">
              <w:rPr>
                <w:rStyle w:val="Lienhypertexte"/>
                <w:noProof/>
              </w:rPr>
              <w:t>1.</w:t>
            </w:r>
            <w:r>
              <w:rPr>
                <w:rFonts w:asciiTheme="minorHAnsi" w:eastAsiaTheme="minorEastAsia" w:hAnsiTheme="minorHAnsi"/>
                <w:noProof/>
                <w:kern w:val="2"/>
                <w:sz w:val="24"/>
                <w:szCs w:val="24"/>
                <w:lang w:val="en-US"/>
                <w14:ligatures w14:val="standardContextual"/>
              </w:rPr>
              <w:tab/>
            </w:r>
            <w:r w:rsidRPr="00455E0F">
              <w:rPr>
                <w:rStyle w:val="Lienhypertexte"/>
                <w:noProof/>
              </w:rPr>
              <w:t>Plafonnement des effets du quotient familial</w:t>
            </w:r>
            <w:r>
              <w:rPr>
                <w:noProof/>
                <w:webHidden/>
              </w:rPr>
              <w:tab/>
            </w:r>
            <w:r>
              <w:rPr>
                <w:noProof/>
                <w:webHidden/>
              </w:rPr>
              <w:fldChar w:fldCharType="begin"/>
            </w:r>
            <w:r>
              <w:rPr>
                <w:noProof/>
                <w:webHidden/>
              </w:rPr>
              <w:instrText xml:space="preserve"> PAGEREF _Toc233204952 \h </w:instrText>
            </w:r>
            <w:r>
              <w:rPr>
                <w:noProof/>
                <w:webHidden/>
              </w:rPr>
            </w:r>
            <w:r>
              <w:rPr>
                <w:noProof/>
                <w:webHidden/>
              </w:rPr>
              <w:fldChar w:fldCharType="separate"/>
            </w:r>
            <w:r>
              <w:rPr>
                <w:noProof/>
                <w:webHidden/>
              </w:rPr>
              <w:t>30</w:t>
            </w:r>
            <w:r>
              <w:rPr>
                <w:noProof/>
                <w:webHidden/>
              </w:rPr>
              <w:fldChar w:fldCharType="end"/>
            </w:r>
          </w:hyperlink>
        </w:p>
        <w:p w14:paraId="647DCC23" w14:textId="5EAB1226"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3" w:history="1">
            <w:r w:rsidRPr="00455E0F">
              <w:rPr>
                <w:rStyle w:val="Lienhypertexte"/>
                <w:noProof/>
              </w:rPr>
              <w:t>2.</w:t>
            </w:r>
            <w:r>
              <w:rPr>
                <w:rFonts w:asciiTheme="minorHAnsi" w:eastAsiaTheme="minorEastAsia" w:hAnsiTheme="minorHAnsi"/>
                <w:noProof/>
                <w:kern w:val="2"/>
                <w:sz w:val="24"/>
                <w:szCs w:val="24"/>
                <w:lang w:val="en-US"/>
                <w14:ligatures w14:val="standardContextual"/>
              </w:rPr>
              <w:tab/>
            </w:r>
            <w:r w:rsidRPr="00455E0F">
              <w:rPr>
                <w:rStyle w:val="Lienhypertexte"/>
                <w:noProof/>
              </w:rPr>
              <w:t>Calcul de l’impôt</w:t>
            </w:r>
            <w:r>
              <w:rPr>
                <w:noProof/>
                <w:webHidden/>
              </w:rPr>
              <w:tab/>
            </w:r>
            <w:r>
              <w:rPr>
                <w:noProof/>
                <w:webHidden/>
              </w:rPr>
              <w:fldChar w:fldCharType="begin"/>
            </w:r>
            <w:r>
              <w:rPr>
                <w:noProof/>
                <w:webHidden/>
              </w:rPr>
              <w:instrText xml:space="preserve"> PAGEREF _Toc233204953 \h </w:instrText>
            </w:r>
            <w:r>
              <w:rPr>
                <w:noProof/>
                <w:webHidden/>
              </w:rPr>
            </w:r>
            <w:r>
              <w:rPr>
                <w:noProof/>
                <w:webHidden/>
              </w:rPr>
              <w:fldChar w:fldCharType="separate"/>
            </w:r>
            <w:r>
              <w:rPr>
                <w:noProof/>
                <w:webHidden/>
              </w:rPr>
              <w:t>30</w:t>
            </w:r>
            <w:r>
              <w:rPr>
                <w:noProof/>
                <w:webHidden/>
              </w:rPr>
              <w:fldChar w:fldCharType="end"/>
            </w:r>
          </w:hyperlink>
        </w:p>
        <w:p w14:paraId="490D5346" w14:textId="4360C71C"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4" w:history="1">
            <w:r w:rsidRPr="00455E0F">
              <w:rPr>
                <w:rStyle w:val="Lienhypertexte"/>
                <w:noProof/>
              </w:rPr>
              <w:t>3.</w:t>
            </w:r>
            <w:r>
              <w:rPr>
                <w:rFonts w:asciiTheme="minorHAnsi" w:eastAsiaTheme="minorEastAsia" w:hAnsiTheme="minorHAnsi"/>
                <w:noProof/>
                <w:kern w:val="2"/>
                <w:sz w:val="24"/>
                <w:szCs w:val="24"/>
                <w:lang w:val="en-US"/>
                <w14:ligatures w14:val="standardContextual"/>
              </w:rPr>
              <w:tab/>
            </w:r>
            <w:r w:rsidRPr="00455E0F">
              <w:rPr>
                <w:rStyle w:val="Lienhypertexte"/>
                <w:noProof/>
              </w:rPr>
              <w:t>Réductions et crédits d’impôt</w:t>
            </w:r>
            <w:r>
              <w:rPr>
                <w:noProof/>
                <w:webHidden/>
              </w:rPr>
              <w:tab/>
            </w:r>
            <w:r>
              <w:rPr>
                <w:noProof/>
                <w:webHidden/>
              </w:rPr>
              <w:fldChar w:fldCharType="begin"/>
            </w:r>
            <w:r>
              <w:rPr>
                <w:noProof/>
                <w:webHidden/>
              </w:rPr>
              <w:instrText xml:space="preserve"> PAGEREF _Toc233204954 \h </w:instrText>
            </w:r>
            <w:r>
              <w:rPr>
                <w:noProof/>
                <w:webHidden/>
              </w:rPr>
            </w:r>
            <w:r>
              <w:rPr>
                <w:noProof/>
                <w:webHidden/>
              </w:rPr>
              <w:fldChar w:fldCharType="separate"/>
            </w:r>
            <w:r>
              <w:rPr>
                <w:noProof/>
                <w:webHidden/>
              </w:rPr>
              <w:t>31</w:t>
            </w:r>
            <w:r>
              <w:rPr>
                <w:noProof/>
                <w:webHidden/>
              </w:rPr>
              <w:fldChar w:fldCharType="end"/>
            </w:r>
          </w:hyperlink>
        </w:p>
        <w:p w14:paraId="1F40883D" w14:textId="49FC6AA0" w:rsidR="008B6FD2" w:rsidRDefault="008B6FD2" w:rsidP="000D53DF">
          <w:pPr>
            <w:pStyle w:val="TM1"/>
            <w:rPr>
              <w:rFonts w:asciiTheme="minorHAnsi" w:eastAsiaTheme="minorEastAsia" w:hAnsiTheme="minorHAnsi"/>
              <w:kern w:val="2"/>
              <w:sz w:val="24"/>
              <w:szCs w:val="24"/>
              <w:lang w:val="en-US"/>
              <w14:ligatures w14:val="standardContextual"/>
            </w:rPr>
          </w:pPr>
          <w:hyperlink w:anchor="_Toc233204955" w:history="1">
            <w:r w:rsidRPr="00455E0F">
              <w:rPr>
                <w:rStyle w:val="Lienhypertexte"/>
              </w:rPr>
              <w:t>V.</w:t>
            </w:r>
            <w:r>
              <w:rPr>
                <w:rFonts w:asciiTheme="minorHAnsi" w:eastAsiaTheme="minorEastAsia" w:hAnsiTheme="minorHAnsi"/>
                <w:kern w:val="2"/>
                <w:sz w:val="24"/>
                <w:szCs w:val="24"/>
                <w:lang w:val="en-US"/>
                <w14:ligatures w14:val="standardContextual"/>
              </w:rPr>
              <w:tab/>
            </w:r>
            <w:r w:rsidRPr="00455E0F">
              <w:rPr>
                <w:rStyle w:val="Lienhypertexte"/>
              </w:rPr>
              <w:t>Le prélèvement à la source</w:t>
            </w:r>
            <w:r>
              <w:rPr>
                <w:webHidden/>
              </w:rPr>
              <w:tab/>
            </w:r>
            <w:r>
              <w:rPr>
                <w:webHidden/>
              </w:rPr>
              <w:fldChar w:fldCharType="begin"/>
            </w:r>
            <w:r>
              <w:rPr>
                <w:webHidden/>
              </w:rPr>
              <w:instrText xml:space="preserve"> PAGEREF _Toc233204955 \h </w:instrText>
            </w:r>
            <w:r>
              <w:rPr>
                <w:webHidden/>
              </w:rPr>
            </w:r>
            <w:r>
              <w:rPr>
                <w:webHidden/>
              </w:rPr>
              <w:fldChar w:fldCharType="separate"/>
            </w:r>
            <w:r>
              <w:rPr>
                <w:webHidden/>
              </w:rPr>
              <w:t>34</w:t>
            </w:r>
            <w:r>
              <w:rPr>
                <w:webHidden/>
              </w:rPr>
              <w:fldChar w:fldCharType="end"/>
            </w:r>
          </w:hyperlink>
        </w:p>
        <w:p w14:paraId="09B73D8B" w14:textId="766CB55D"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6" w:history="1">
            <w:r w:rsidRPr="00455E0F">
              <w:rPr>
                <w:rStyle w:val="Lienhypertexte"/>
                <w:noProof/>
              </w:rPr>
              <w:t>1.</w:t>
            </w:r>
            <w:r>
              <w:rPr>
                <w:rFonts w:asciiTheme="minorHAnsi" w:eastAsiaTheme="minorEastAsia" w:hAnsiTheme="minorHAnsi"/>
                <w:noProof/>
                <w:kern w:val="2"/>
                <w:sz w:val="24"/>
                <w:szCs w:val="24"/>
                <w:lang w:val="en-US"/>
                <w14:ligatures w14:val="standardContextual"/>
              </w:rPr>
              <w:tab/>
            </w:r>
            <w:r w:rsidRPr="00455E0F">
              <w:rPr>
                <w:rStyle w:val="Lienhypertexte"/>
                <w:noProof/>
              </w:rPr>
              <w:t>Revenus concernés</w:t>
            </w:r>
            <w:r>
              <w:rPr>
                <w:noProof/>
                <w:webHidden/>
              </w:rPr>
              <w:tab/>
            </w:r>
            <w:r>
              <w:rPr>
                <w:noProof/>
                <w:webHidden/>
              </w:rPr>
              <w:fldChar w:fldCharType="begin"/>
            </w:r>
            <w:r>
              <w:rPr>
                <w:noProof/>
                <w:webHidden/>
              </w:rPr>
              <w:instrText xml:space="preserve"> PAGEREF _Toc233204956 \h </w:instrText>
            </w:r>
            <w:r>
              <w:rPr>
                <w:noProof/>
                <w:webHidden/>
              </w:rPr>
            </w:r>
            <w:r>
              <w:rPr>
                <w:noProof/>
                <w:webHidden/>
              </w:rPr>
              <w:fldChar w:fldCharType="separate"/>
            </w:r>
            <w:r>
              <w:rPr>
                <w:noProof/>
                <w:webHidden/>
              </w:rPr>
              <w:t>35</w:t>
            </w:r>
            <w:r>
              <w:rPr>
                <w:noProof/>
                <w:webHidden/>
              </w:rPr>
              <w:fldChar w:fldCharType="end"/>
            </w:r>
          </w:hyperlink>
        </w:p>
        <w:p w14:paraId="55C0A582" w14:textId="3C3422DD"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7" w:history="1">
            <w:r w:rsidRPr="00455E0F">
              <w:rPr>
                <w:rStyle w:val="Lienhypertexte"/>
                <w:noProof/>
              </w:rPr>
              <w:t>2.</w:t>
            </w:r>
            <w:r>
              <w:rPr>
                <w:rFonts w:asciiTheme="minorHAnsi" w:eastAsiaTheme="minorEastAsia" w:hAnsiTheme="minorHAnsi"/>
                <w:noProof/>
                <w:kern w:val="2"/>
                <w:sz w:val="24"/>
                <w:szCs w:val="24"/>
                <w:lang w:val="en-US"/>
                <w14:ligatures w14:val="standardContextual"/>
              </w:rPr>
              <w:tab/>
            </w:r>
            <w:r w:rsidRPr="00455E0F">
              <w:rPr>
                <w:rStyle w:val="Lienhypertexte"/>
                <w:noProof/>
              </w:rPr>
              <w:t>Revenus non soumis au prélèvement à la source</w:t>
            </w:r>
            <w:r>
              <w:rPr>
                <w:noProof/>
                <w:webHidden/>
              </w:rPr>
              <w:tab/>
            </w:r>
            <w:r>
              <w:rPr>
                <w:noProof/>
                <w:webHidden/>
              </w:rPr>
              <w:fldChar w:fldCharType="begin"/>
            </w:r>
            <w:r>
              <w:rPr>
                <w:noProof/>
                <w:webHidden/>
              </w:rPr>
              <w:instrText xml:space="preserve"> PAGEREF _Toc233204957 \h </w:instrText>
            </w:r>
            <w:r>
              <w:rPr>
                <w:noProof/>
                <w:webHidden/>
              </w:rPr>
            </w:r>
            <w:r>
              <w:rPr>
                <w:noProof/>
                <w:webHidden/>
              </w:rPr>
              <w:fldChar w:fldCharType="separate"/>
            </w:r>
            <w:r>
              <w:rPr>
                <w:noProof/>
                <w:webHidden/>
              </w:rPr>
              <w:t>36</w:t>
            </w:r>
            <w:r>
              <w:rPr>
                <w:noProof/>
                <w:webHidden/>
              </w:rPr>
              <w:fldChar w:fldCharType="end"/>
            </w:r>
          </w:hyperlink>
        </w:p>
        <w:p w14:paraId="5A9A45EA" w14:textId="6CD71038"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8" w:history="1">
            <w:r w:rsidRPr="00455E0F">
              <w:rPr>
                <w:rStyle w:val="Lienhypertexte"/>
                <w:noProof/>
              </w:rPr>
              <w:t>3.</w:t>
            </w:r>
            <w:r>
              <w:rPr>
                <w:rFonts w:asciiTheme="minorHAnsi" w:eastAsiaTheme="minorEastAsia" w:hAnsiTheme="minorHAnsi"/>
                <w:noProof/>
                <w:kern w:val="2"/>
                <w:sz w:val="24"/>
                <w:szCs w:val="24"/>
                <w:lang w:val="en-US"/>
                <w14:ligatures w14:val="standardContextual"/>
              </w:rPr>
              <w:tab/>
            </w:r>
            <w:r w:rsidRPr="00455E0F">
              <w:rPr>
                <w:rStyle w:val="Lienhypertexte"/>
                <w:noProof/>
              </w:rPr>
              <w:t>L’acompte contemporain</w:t>
            </w:r>
            <w:r>
              <w:rPr>
                <w:noProof/>
                <w:webHidden/>
              </w:rPr>
              <w:tab/>
            </w:r>
            <w:r>
              <w:rPr>
                <w:noProof/>
                <w:webHidden/>
              </w:rPr>
              <w:fldChar w:fldCharType="begin"/>
            </w:r>
            <w:r>
              <w:rPr>
                <w:noProof/>
                <w:webHidden/>
              </w:rPr>
              <w:instrText xml:space="preserve"> PAGEREF _Toc233204958 \h </w:instrText>
            </w:r>
            <w:r>
              <w:rPr>
                <w:noProof/>
                <w:webHidden/>
              </w:rPr>
            </w:r>
            <w:r>
              <w:rPr>
                <w:noProof/>
                <w:webHidden/>
              </w:rPr>
              <w:fldChar w:fldCharType="separate"/>
            </w:r>
            <w:r>
              <w:rPr>
                <w:noProof/>
                <w:webHidden/>
              </w:rPr>
              <w:t>37</w:t>
            </w:r>
            <w:r>
              <w:rPr>
                <w:noProof/>
                <w:webHidden/>
              </w:rPr>
              <w:fldChar w:fldCharType="end"/>
            </w:r>
          </w:hyperlink>
        </w:p>
        <w:p w14:paraId="6B790C1B" w14:textId="46F8383C"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59" w:history="1">
            <w:r w:rsidRPr="00455E0F">
              <w:rPr>
                <w:rStyle w:val="Lienhypertexte"/>
                <w:noProof/>
              </w:rPr>
              <w:t>4.</w:t>
            </w:r>
            <w:r>
              <w:rPr>
                <w:rFonts w:asciiTheme="minorHAnsi" w:eastAsiaTheme="minorEastAsia" w:hAnsiTheme="minorHAnsi"/>
                <w:noProof/>
                <w:kern w:val="2"/>
                <w:sz w:val="24"/>
                <w:szCs w:val="24"/>
                <w:lang w:val="en-US"/>
                <w14:ligatures w14:val="standardContextual"/>
              </w:rPr>
              <w:tab/>
            </w:r>
            <w:r w:rsidRPr="00455E0F">
              <w:rPr>
                <w:rStyle w:val="Lienhypertexte"/>
                <w:noProof/>
              </w:rPr>
              <w:t>Le taux du prélèvement</w:t>
            </w:r>
            <w:r>
              <w:rPr>
                <w:noProof/>
                <w:webHidden/>
              </w:rPr>
              <w:tab/>
            </w:r>
            <w:r>
              <w:rPr>
                <w:noProof/>
                <w:webHidden/>
              </w:rPr>
              <w:fldChar w:fldCharType="begin"/>
            </w:r>
            <w:r>
              <w:rPr>
                <w:noProof/>
                <w:webHidden/>
              </w:rPr>
              <w:instrText xml:space="preserve"> PAGEREF _Toc233204959 \h </w:instrText>
            </w:r>
            <w:r>
              <w:rPr>
                <w:noProof/>
                <w:webHidden/>
              </w:rPr>
            </w:r>
            <w:r>
              <w:rPr>
                <w:noProof/>
                <w:webHidden/>
              </w:rPr>
              <w:fldChar w:fldCharType="separate"/>
            </w:r>
            <w:r>
              <w:rPr>
                <w:noProof/>
                <w:webHidden/>
              </w:rPr>
              <w:t>37</w:t>
            </w:r>
            <w:r>
              <w:rPr>
                <w:noProof/>
                <w:webHidden/>
              </w:rPr>
              <w:fldChar w:fldCharType="end"/>
            </w:r>
          </w:hyperlink>
        </w:p>
        <w:p w14:paraId="1DD24971" w14:textId="72097415"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60" w:history="1">
            <w:r w:rsidRPr="00455E0F">
              <w:rPr>
                <w:rStyle w:val="Lienhypertexte"/>
                <w:noProof/>
              </w:rPr>
              <w:t>5.</w:t>
            </w:r>
            <w:r>
              <w:rPr>
                <w:rFonts w:asciiTheme="minorHAnsi" w:eastAsiaTheme="minorEastAsia" w:hAnsiTheme="minorHAnsi"/>
                <w:noProof/>
                <w:kern w:val="2"/>
                <w:sz w:val="24"/>
                <w:szCs w:val="24"/>
                <w:lang w:val="en-US"/>
                <w14:ligatures w14:val="standardContextual"/>
              </w:rPr>
              <w:tab/>
            </w:r>
            <w:r w:rsidRPr="00455E0F">
              <w:rPr>
                <w:rStyle w:val="Lienhypertexte"/>
                <w:noProof/>
              </w:rPr>
              <w:t>Taux individualisé du taux au sein d’un couple</w:t>
            </w:r>
            <w:r>
              <w:rPr>
                <w:noProof/>
                <w:webHidden/>
              </w:rPr>
              <w:tab/>
            </w:r>
            <w:r>
              <w:rPr>
                <w:noProof/>
                <w:webHidden/>
              </w:rPr>
              <w:fldChar w:fldCharType="begin"/>
            </w:r>
            <w:r>
              <w:rPr>
                <w:noProof/>
                <w:webHidden/>
              </w:rPr>
              <w:instrText xml:space="preserve"> PAGEREF _Toc233204960 \h </w:instrText>
            </w:r>
            <w:r>
              <w:rPr>
                <w:noProof/>
                <w:webHidden/>
              </w:rPr>
            </w:r>
            <w:r>
              <w:rPr>
                <w:noProof/>
                <w:webHidden/>
              </w:rPr>
              <w:fldChar w:fldCharType="separate"/>
            </w:r>
            <w:r>
              <w:rPr>
                <w:noProof/>
                <w:webHidden/>
              </w:rPr>
              <w:t>39</w:t>
            </w:r>
            <w:r>
              <w:rPr>
                <w:noProof/>
                <w:webHidden/>
              </w:rPr>
              <w:fldChar w:fldCharType="end"/>
            </w:r>
          </w:hyperlink>
        </w:p>
        <w:p w14:paraId="2758419A" w14:textId="64872E56"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61" w:history="1">
            <w:r w:rsidRPr="00455E0F">
              <w:rPr>
                <w:rStyle w:val="Lienhypertexte"/>
                <w:noProof/>
              </w:rPr>
              <w:t>6.</w:t>
            </w:r>
            <w:r>
              <w:rPr>
                <w:rFonts w:asciiTheme="minorHAnsi" w:eastAsiaTheme="minorEastAsia" w:hAnsiTheme="minorHAnsi"/>
                <w:noProof/>
                <w:kern w:val="2"/>
                <w:sz w:val="24"/>
                <w:szCs w:val="24"/>
                <w:lang w:val="en-US"/>
                <w14:ligatures w14:val="standardContextual"/>
              </w:rPr>
              <w:tab/>
            </w:r>
            <w:r w:rsidRPr="00455E0F">
              <w:rPr>
                <w:rStyle w:val="Lienhypertexte"/>
                <w:noProof/>
              </w:rPr>
              <w:t>Changement de situation</w:t>
            </w:r>
            <w:r>
              <w:rPr>
                <w:noProof/>
                <w:webHidden/>
              </w:rPr>
              <w:tab/>
            </w:r>
            <w:r>
              <w:rPr>
                <w:noProof/>
                <w:webHidden/>
              </w:rPr>
              <w:fldChar w:fldCharType="begin"/>
            </w:r>
            <w:r>
              <w:rPr>
                <w:noProof/>
                <w:webHidden/>
              </w:rPr>
              <w:instrText xml:space="preserve"> PAGEREF _Toc233204961 \h </w:instrText>
            </w:r>
            <w:r>
              <w:rPr>
                <w:noProof/>
                <w:webHidden/>
              </w:rPr>
            </w:r>
            <w:r>
              <w:rPr>
                <w:noProof/>
                <w:webHidden/>
              </w:rPr>
              <w:fldChar w:fldCharType="separate"/>
            </w:r>
            <w:r>
              <w:rPr>
                <w:noProof/>
                <w:webHidden/>
              </w:rPr>
              <w:t>39</w:t>
            </w:r>
            <w:r>
              <w:rPr>
                <w:noProof/>
                <w:webHidden/>
              </w:rPr>
              <w:fldChar w:fldCharType="end"/>
            </w:r>
          </w:hyperlink>
        </w:p>
        <w:p w14:paraId="7FD98AB5" w14:textId="53B0315E"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62" w:history="1">
            <w:r w:rsidRPr="00455E0F">
              <w:rPr>
                <w:rStyle w:val="Lienhypertexte"/>
                <w:noProof/>
              </w:rPr>
              <w:t>7.</w:t>
            </w:r>
            <w:r>
              <w:rPr>
                <w:rFonts w:asciiTheme="minorHAnsi" w:eastAsiaTheme="minorEastAsia" w:hAnsiTheme="minorHAnsi"/>
                <w:noProof/>
                <w:kern w:val="2"/>
                <w:sz w:val="24"/>
                <w:szCs w:val="24"/>
                <w:lang w:val="en-US"/>
                <w14:ligatures w14:val="standardContextual"/>
              </w:rPr>
              <w:tab/>
            </w:r>
            <w:r w:rsidRPr="00455E0F">
              <w:rPr>
                <w:rStyle w:val="Lienhypertexte"/>
                <w:noProof/>
              </w:rPr>
              <w:t>Demande de modulation du taux</w:t>
            </w:r>
            <w:r>
              <w:rPr>
                <w:noProof/>
                <w:webHidden/>
              </w:rPr>
              <w:tab/>
            </w:r>
            <w:r>
              <w:rPr>
                <w:noProof/>
                <w:webHidden/>
              </w:rPr>
              <w:fldChar w:fldCharType="begin"/>
            </w:r>
            <w:r>
              <w:rPr>
                <w:noProof/>
                <w:webHidden/>
              </w:rPr>
              <w:instrText xml:space="preserve"> PAGEREF _Toc233204962 \h </w:instrText>
            </w:r>
            <w:r>
              <w:rPr>
                <w:noProof/>
                <w:webHidden/>
              </w:rPr>
            </w:r>
            <w:r>
              <w:rPr>
                <w:noProof/>
                <w:webHidden/>
              </w:rPr>
              <w:fldChar w:fldCharType="separate"/>
            </w:r>
            <w:r>
              <w:rPr>
                <w:noProof/>
                <w:webHidden/>
              </w:rPr>
              <w:t>39</w:t>
            </w:r>
            <w:r>
              <w:rPr>
                <w:noProof/>
                <w:webHidden/>
              </w:rPr>
              <w:fldChar w:fldCharType="end"/>
            </w:r>
          </w:hyperlink>
        </w:p>
        <w:p w14:paraId="57AB32D2" w14:textId="4D633749"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63" w:history="1">
            <w:r w:rsidRPr="00455E0F">
              <w:rPr>
                <w:rStyle w:val="Lienhypertexte"/>
                <w:noProof/>
              </w:rPr>
              <w:t>8.</w:t>
            </w:r>
            <w:r>
              <w:rPr>
                <w:rFonts w:asciiTheme="minorHAnsi" w:eastAsiaTheme="minorEastAsia" w:hAnsiTheme="minorHAnsi"/>
                <w:noProof/>
                <w:kern w:val="2"/>
                <w:sz w:val="24"/>
                <w:szCs w:val="24"/>
                <w:lang w:val="en-US"/>
                <w14:ligatures w14:val="standardContextual"/>
              </w:rPr>
              <w:tab/>
            </w:r>
            <w:r w:rsidRPr="00455E0F">
              <w:rPr>
                <w:rStyle w:val="Lienhypertexte"/>
                <w:noProof/>
              </w:rPr>
              <w:t>Déclaration d’un nouveau revenu</w:t>
            </w:r>
            <w:r>
              <w:rPr>
                <w:noProof/>
                <w:webHidden/>
              </w:rPr>
              <w:tab/>
            </w:r>
            <w:r>
              <w:rPr>
                <w:noProof/>
                <w:webHidden/>
              </w:rPr>
              <w:fldChar w:fldCharType="begin"/>
            </w:r>
            <w:r>
              <w:rPr>
                <w:noProof/>
                <w:webHidden/>
              </w:rPr>
              <w:instrText xml:space="preserve"> PAGEREF _Toc233204963 \h </w:instrText>
            </w:r>
            <w:r>
              <w:rPr>
                <w:noProof/>
                <w:webHidden/>
              </w:rPr>
            </w:r>
            <w:r>
              <w:rPr>
                <w:noProof/>
                <w:webHidden/>
              </w:rPr>
              <w:fldChar w:fldCharType="separate"/>
            </w:r>
            <w:r>
              <w:rPr>
                <w:noProof/>
                <w:webHidden/>
              </w:rPr>
              <w:t>40</w:t>
            </w:r>
            <w:r>
              <w:rPr>
                <w:noProof/>
                <w:webHidden/>
              </w:rPr>
              <w:fldChar w:fldCharType="end"/>
            </w:r>
          </w:hyperlink>
        </w:p>
        <w:p w14:paraId="5DC97FDF" w14:textId="08D70E18" w:rsidR="008B6FD2" w:rsidRDefault="008B6FD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233204964" w:history="1">
            <w:r w:rsidRPr="00455E0F">
              <w:rPr>
                <w:rStyle w:val="Lienhypertexte"/>
                <w:noProof/>
              </w:rPr>
              <w:t>9.</w:t>
            </w:r>
            <w:r>
              <w:rPr>
                <w:rFonts w:asciiTheme="minorHAnsi" w:eastAsiaTheme="minorEastAsia" w:hAnsiTheme="minorHAnsi"/>
                <w:noProof/>
                <w:kern w:val="2"/>
                <w:sz w:val="24"/>
                <w:szCs w:val="24"/>
                <w:lang w:val="en-US"/>
                <w14:ligatures w14:val="standardContextual"/>
              </w:rPr>
              <w:tab/>
            </w:r>
            <w:r w:rsidRPr="00455E0F">
              <w:rPr>
                <w:rStyle w:val="Lienhypertexte"/>
                <w:noProof/>
              </w:rPr>
              <w:t>Perte d’un revenu</w:t>
            </w:r>
            <w:r>
              <w:rPr>
                <w:noProof/>
                <w:webHidden/>
              </w:rPr>
              <w:tab/>
            </w:r>
            <w:r>
              <w:rPr>
                <w:noProof/>
                <w:webHidden/>
              </w:rPr>
              <w:fldChar w:fldCharType="begin"/>
            </w:r>
            <w:r>
              <w:rPr>
                <w:noProof/>
                <w:webHidden/>
              </w:rPr>
              <w:instrText xml:space="preserve"> PAGEREF _Toc233204964 \h </w:instrText>
            </w:r>
            <w:r>
              <w:rPr>
                <w:noProof/>
                <w:webHidden/>
              </w:rPr>
            </w:r>
            <w:r>
              <w:rPr>
                <w:noProof/>
                <w:webHidden/>
              </w:rPr>
              <w:fldChar w:fldCharType="separate"/>
            </w:r>
            <w:r>
              <w:rPr>
                <w:noProof/>
                <w:webHidden/>
              </w:rPr>
              <w:t>40</w:t>
            </w:r>
            <w:r>
              <w:rPr>
                <w:noProof/>
                <w:webHidden/>
              </w:rPr>
              <w:fldChar w:fldCharType="end"/>
            </w:r>
          </w:hyperlink>
        </w:p>
        <w:p w14:paraId="163B8932" w14:textId="03DF652F" w:rsidR="008B6FD2" w:rsidRDefault="008B6FD2" w:rsidP="000D53DF">
          <w:pPr>
            <w:pStyle w:val="TM1"/>
            <w:rPr>
              <w:rFonts w:asciiTheme="minorHAnsi" w:eastAsiaTheme="minorEastAsia" w:hAnsiTheme="minorHAnsi"/>
              <w:kern w:val="2"/>
              <w:sz w:val="24"/>
              <w:szCs w:val="24"/>
              <w:lang w:val="en-US"/>
              <w14:ligatures w14:val="standardContextual"/>
            </w:rPr>
          </w:pPr>
          <w:hyperlink w:anchor="_Toc233204965" w:history="1">
            <w:r w:rsidRPr="00455E0F">
              <w:rPr>
                <w:rStyle w:val="Lienhypertexte"/>
              </w:rPr>
              <w:t>VI.</w:t>
            </w:r>
            <w:r>
              <w:rPr>
                <w:rFonts w:asciiTheme="minorHAnsi" w:eastAsiaTheme="minorEastAsia" w:hAnsiTheme="minorHAnsi"/>
                <w:kern w:val="2"/>
                <w:sz w:val="24"/>
                <w:szCs w:val="24"/>
                <w:lang w:val="en-US"/>
                <w14:ligatures w14:val="standardContextual"/>
              </w:rPr>
              <w:tab/>
            </w:r>
            <w:r w:rsidRPr="00455E0F">
              <w:rPr>
                <w:rStyle w:val="Lienhypertexte"/>
              </w:rPr>
              <w:t>Le revenu fiscal de référence et son impact</w:t>
            </w:r>
            <w:r>
              <w:rPr>
                <w:webHidden/>
              </w:rPr>
              <w:tab/>
            </w:r>
            <w:r>
              <w:rPr>
                <w:webHidden/>
              </w:rPr>
              <w:fldChar w:fldCharType="begin"/>
            </w:r>
            <w:r>
              <w:rPr>
                <w:webHidden/>
              </w:rPr>
              <w:instrText xml:space="preserve"> PAGEREF _Toc233204965 \h </w:instrText>
            </w:r>
            <w:r>
              <w:rPr>
                <w:webHidden/>
              </w:rPr>
            </w:r>
            <w:r>
              <w:rPr>
                <w:webHidden/>
              </w:rPr>
              <w:fldChar w:fldCharType="separate"/>
            </w:r>
            <w:r>
              <w:rPr>
                <w:webHidden/>
              </w:rPr>
              <w:t>41</w:t>
            </w:r>
            <w:r>
              <w:rPr>
                <w:webHidden/>
              </w:rPr>
              <w:fldChar w:fldCharType="end"/>
            </w:r>
          </w:hyperlink>
        </w:p>
        <w:p w14:paraId="050B0E52" w14:textId="332B7DE1" w:rsidR="008B6FD2" w:rsidRDefault="008B6FD2" w:rsidP="000D53DF">
          <w:pPr>
            <w:pStyle w:val="TM1"/>
            <w:rPr>
              <w:rFonts w:asciiTheme="minorHAnsi" w:eastAsiaTheme="minorEastAsia" w:hAnsiTheme="minorHAnsi"/>
              <w:kern w:val="2"/>
              <w:sz w:val="24"/>
              <w:szCs w:val="24"/>
              <w:lang w:val="en-US"/>
              <w14:ligatures w14:val="standardContextual"/>
            </w:rPr>
          </w:pPr>
          <w:hyperlink w:anchor="_Toc233204966" w:history="1">
            <w:r w:rsidRPr="00455E0F">
              <w:rPr>
                <w:rStyle w:val="Lienhypertexte"/>
              </w:rPr>
              <w:t>VII.</w:t>
            </w:r>
            <w:r>
              <w:rPr>
                <w:rFonts w:asciiTheme="minorHAnsi" w:eastAsiaTheme="minorEastAsia" w:hAnsiTheme="minorHAnsi"/>
                <w:kern w:val="2"/>
                <w:sz w:val="24"/>
                <w:szCs w:val="24"/>
                <w:lang w:val="en-US"/>
                <w14:ligatures w14:val="standardContextual"/>
              </w:rPr>
              <w:tab/>
            </w:r>
            <w:r w:rsidRPr="00455E0F">
              <w:rPr>
                <w:rStyle w:val="Lienhypertexte"/>
              </w:rPr>
              <w:t>La contribution différentielle sur les hauts revenus</w:t>
            </w:r>
            <w:r>
              <w:rPr>
                <w:webHidden/>
              </w:rPr>
              <w:tab/>
            </w:r>
            <w:r>
              <w:rPr>
                <w:webHidden/>
              </w:rPr>
              <w:fldChar w:fldCharType="begin"/>
            </w:r>
            <w:r>
              <w:rPr>
                <w:webHidden/>
              </w:rPr>
              <w:instrText xml:space="preserve"> PAGEREF _Toc233204966 \h </w:instrText>
            </w:r>
            <w:r>
              <w:rPr>
                <w:webHidden/>
              </w:rPr>
            </w:r>
            <w:r>
              <w:rPr>
                <w:webHidden/>
              </w:rPr>
              <w:fldChar w:fldCharType="separate"/>
            </w:r>
            <w:r>
              <w:rPr>
                <w:webHidden/>
              </w:rPr>
              <w:t>45</w:t>
            </w:r>
            <w:r>
              <w:rPr>
                <w:webHidden/>
              </w:rPr>
              <w:fldChar w:fldCharType="end"/>
            </w:r>
          </w:hyperlink>
        </w:p>
        <w:p w14:paraId="14311A63" w14:textId="6C24FDEC" w:rsidR="008B6FD2" w:rsidRPr="000D53DF" w:rsidRDefault="008B6FD2" w:rsidP="000D53DF">
          <w:pPr>
            <w:pStyle w:val="TM1"/>
            <w:rPr>
              <w:rFonts w:asciiTheme="minorHAnsi" w:eastAsiaTheme="minorEastAsia" w:hAnsiTheme="minorHAnsi"/>
              <w:kern w:val="2"/>
              <w:sz w:val="24"/>
              <w:szCs w:val="24"/>
              <w:lang w:val="en-US"/>
              <w14:ligatures w14:val="standardContextual"/>
            </w:rPr>
          </w:pPr>
          <w:hyperlink w:anchor="_Toc233204967" w:history="1">
            <w:r w:rsidRPr="000D53DF">
              <w:rPr>
                <w:rStyle w:val="Lienhypertexte"/>
              </w:rPr>
              <w:t>VIII.</w:t>
            </w:r>
            <w:r w:rsidRPr="000D53DF">
              <w:rPr>
                <w:rFonts w:asciiTheme="minorHAnsi" w:eastAsiaTheme="minorEastAsia" w:hAnsiTheme="minorHAnsi"/>
                <w:kern w:val="2"/>
                <w:sz w:val="24"/>
                <w:szCs w:val="24"/>
                <w:lang w:val="en-US"/>
                <w14:ligatures w14:val="standardContextual"/>
              </w:rPr>
              <w:tab/>
            </w:r>
            <w:r w:rsidRPr="000D53DF">
              <w:rPr>
                <w:rStyle w:val="Lienhypertexte"/>
              </w:rPr>
              <w:t>taxe sur le patrimoine financier des holdings patrimoniales</w:t>
            </w:r>
            <w:r w:rsidRPr="000D53DF">
              <w:rPr>
                <w:webHidden/>
              </w:rPr>
              <w:tab/>
            </w:r>
            <w:r w:rsidRPr="000D53DF">
              <w:rPr>
                <w:webHidden/>
              </w:rPr>
              <w:fldChar w:fldCharType="begin"/>
            </w:r>
            <w:r w:rsidRPr="000D53DF">
              <w:rPr>
                <w:webHidden/>
              </w:rPr>
              <w:instrText xml:space="preserve"> PAGEREF _Toc233204967 \h </w:instrText>
            </w:r>
            <w:r w:rsidRPr="000D53DF">
              <w:rPr>
                <w:webHidden/>
              </w:rPr>
            </w:r>
            <w:r w:rsidRPr="000D53DF">
              <w:rPr>
                <w:webHidden/>
              </w:rPr>
              <w:fldChar w:fldCharType="separate"/>
            </w:r>
            <w:r w:rsidRPr="000D53DF">
              <w:rPr>
                <w:webHidden/>
              </w:rPr>
              <w:t>48</w:t>
            </w:r>
            <w:r w:rsidRPr="000D53DF">
              <w:rPr>
                <w:webHidden/>
              </w:rPr>
              <w:fldChar w:fldCharType="end"/>
            </w:r>
          </w:hyperlink>
        </w:p>
        <w:p w14:paraId="3ACDFD17" w14:textId="240DFAD1" w:rsidR="008B6FD2" w:rsidRDefault="008B6FD2" w:rsidP="000D53DF">
          <w:pPr>
            <w:pStyle w:val="TM1"/>
            <w:rPr>
              <w:rFonts w:asciiTheme="minorHAnsi" w:eastAsiaTheme="minorEastAsia" w:hAnsiTheme="minorHAnsi"/>
              <w:kern w:val="2"/>
              <w:sz w:val="24"/>
              <w:szCs w:val="24"/>
              <w:lang w:val="en-US"/>
              <w14:ligatures w14:val="standardContextual"/>
            </w:rPr>
          </w:pPr>
          <w:hyperlink w:anchor="_Toc233204968" w:history="1">
            <w:r w:rsidRPr="00455E0F">
              <w:rPr>
                <w:rStyle w:val="Lienhypertexte"/>
              </w:rPr>
              <w:t>IX.</w:t>
            </w:r>
            <w:r>
              <w:rPr>
                <w:rFonts w:asciiTheme="minorHAnsi" w:eastAsiaTheme="minorEastAsia" w:hAnsiTheme="minorHAnsi"/>
                <w:kern w:val="2"/>
                <w:sz w:val="24"/>
                <w:szCs w:val="24"/>
                <w:lang w:val="en-US"/>
                <w14:ligatures w14:val="standardContextual"/>
              </w:rPr>
              <w:tab/>
            </w:r>
            <w:r w:rsidRPr="00455E0F">
              <w:rPr>
                <w:rStyle w:val="Lienhypertexte"/>
              </w:rPr>
              <w:t>Le contentieuxLe contentieux fiscal  fiscal</w:t>
            </w:r>
            <w:r>
              <w:rPr>
                <w:webHidden/>
              </w:rPr>
              <w:tab/>
            </w:r>
            <w:r>
              <w:rPr>
                <w:webHidden/>
              </w:rPr>
              <w:fldChar w:fldCharType="begin"/>
            </w:r>
            <w:r>
              <w:rPr>
                <w:webHidden/>
              </w:rPr>
              <w:instrText xml:space="preserve"> PAGEREF _Toc233204968 \h </w:instrText>
            </w:r>
            <w:r>
              <w:rPr>
                <w:webHidden/>
              </w:rPr>
            </w:r>
            <w:r>
              <w:rPr>
                <w:webHidden/>
              </w:rPr>
              <w:fldChar w:fldCharType="separate"/>
            </w:r>
            <w:r>
              <w:rPr>
                <w:webHidden/>
              </w:rPr>
              <w:t>50</w:t>
            </w:r>
            <w:r>
              <w:rPr>
                <w:webHidden/>
              </w:rPr>
              <w:fldChar w:fldCharType="end"/>
            </w:r>
          </w:hyperlink>
        </w:p>
        <w:p w14:paraId="6F6337D5" w14:textId="0B732CE2" w:rsidR="00691C59" w:rsidRDefault="00691C59">
          <w:r>
            <w:rPr>
              <w:b/>
              <w:bCs/>
            </w:rPr>
            <w:fldChar w:fldCharType="end"/>
          </w:r>
        </w:p>
      </w:sdtContent>
    </w:sdt>
    <w:p w14:paraId="5613C11D" w14:textId="3FE01F7C" w:rsidR="00CB575E" w:rsidRPr="009201C0" w:rsidRDefault="00B42117" w:rsidP="002E5F2B">
      <w:pPr>
        <w:pStyle w:val="Titre2"/>
        <w:rPr>
          <w:lang w:eastAsia="en-GB"/>
        </w:rPr>
      </w:pPr>
      <w:r w:rsidRPr="009201C0">
        <w:rPr>
          <w:rFonts w:eastAsia="Times New Roman"/>
          <w:lang w:eastAsia="fr-FR"/>
        </w:rPr>
        <w:br w:type="page"/>
      </w:r>
    </w:p>
    <w:bookmarkStart w:id="0" w:name="_Toc202191560"/>
    <w:p w14:paraId="51035FC1" w14:textId="07B1C5A3" w:rsidR="00691C59" w:rsidRDefault="009E4469" w:rsidP="00691C59">
      <w:r>
        <w:rPr>
          <w:noProof/>
          <w14:ligatures w14:val="standardContextual"/>
        </w:rPr>
        <w:lastRenderedPageBreak/>
        <mc:AlternateContent>
          <mc:Choice Requires="wps">
            <w:drawing>
              <wp:anchor distT="0" distB="0" distL="114300" distR="114300" simplePos="0" relativeHeight="251662336" behindDoc="1" locked="0" layoutInCell="1" allowOverlap="1" wp14:anchorId="49F7B510" wp14:editId="34B5ED16">
                <wp:simplePos x="0" y="0"/>
                <wp:positionH relativeFrom="column">
                  <wp:posOffset>-914400</wp:posOffset>
                </wp:positionH>
                <wp:positionV relativeFrom="paragraph">
                  <wp:posOffset>-124460</wp:posOffset>
                </wp:positionV>
                <wp:extent cx="15339848" cy="8766175"/>
                <wp:effectExtent l="0" t="0" r="14605" b="15875"/>
                <wp:wrapNone/>
                <wp:docPr id="681680974" name="Rectangle 4"/>
                <wp:cNvGraphicFramePr/>
                <a:graphic xmlns:a="http://schemas.openxmlformats.org/drawingml/2006/main">
                  <a:graphicData uri="http://schemas.microsoft.com/office/word/2010/wordprocessingShape">
                    <wps:wsp>
                      <wps:cNvSpPr/>
                      <wps:spPr>
                        <a:xfrm>
                          <a:off x="0" y="0"/>
                          <a:ext cx="15339848" cy="876617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46EC2D5" id="Rectangle 4" o:spid="_x0000_s1026" style="position:absolute;margin-left:-1in;margin-top:-9.8pt;width:1207.85pt;height:690.2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" fillcolor="#4472c4 [3204]" strokecolor="#09101d [484]" strokeweight="1pt"/>
            </w:pict>
          </mc:Fallback>
        </mc:AlternateContent>
      </w:r>
    </w:p>
    <w:p w14:paraId="24A41E7D" w14:textId="77777777" w:rsidR="00691C59" w:rsidRDefault="00691C59" w:rsidP="00691C59"/>
    <w:p w14:paraId="753968BB" w14:textId="77777777" w:rsidR="00691C59" w:rsidRDefault="00691C59" w:rsidP="00691C59"/>
    <w:p w14:paraId="1372E992" w14:textId="77777777" w:rsidR="00691C59" w:rsidRDefault="00691C59" w:rsidP="00691C59"/>
    <w:p w14:paraId="09737F50" w14:textId="77777777" w:rsidR="00691C59" w:rsidRDefault="00691C59" w:rsidP="00691C59"/>
    <w:p w14:paraId="0DC81106" w14:textId="77777777" w:rsidR="00691C59" w:rsidRDefault="00691C59" w:rsidP="00691C59"/>
    <w:p w14:paraId="2C296D47" w14:textId="305EE590" w:rsidR="00691C59" w:rsidRDefault="00360422" w:rsidP="00360422">
      <w:pPr>
        <w:tabs>
          <w:tab w:val="left" w:pos="2220"/>
        </w:tabs>
      </w:pPr>
      <w:r>
        <w:tab/>
      </w:r>
    </w:p>
    <w:p w14:paraId="03917E28" w14:textId="77777777" w:rsidR="00691C59" w:rsidRDefault="00691C59" w:rsidP="00691C59"/>
    <w:p w14:paraId="599DE653" w14:textId="77777777" w:rsidR="00691C59" w:rsidRDefault="00691C59" w:rsidP="00691C59"/>
    <w:p w14:paraId="59E5A436" w14:textId="4E6F5262" w:rsidR="00691C59" w:rsidRPr="00691C59" w:rsidRDefault="00CB575E" w:rsidP="000B416A">
      <w:pPr>
        <w:pStyle w:val="Titre1"/>
        <w:numPr>
          <w:ilvl w:val="0"/>
          <w:numId w:val="26"/>
        </w:numPr>
      </w:pPr>
      <w:bookmarkStart w:id="1" w:name="_Toc207183010"/>
      <w:bookmarkStart w:id="2" w:name="_Toc233204926"/>
      <w:r w:rsidRPr="00691C59">
        <w:t xml:space="preserve">Introduction : </w:t>
      </w:r>
      <w:r w:rsidR="004D12FC">
        <w:t xml:space="preserve">les </w:t>
      </w:r>
      <w:r w:rsidRPr="00691C59">
        <w:t>caractéristiques générales de l’IR</w:t>
      </w:r>
      <w:bookmarkEnd w:id="0"/>
      <w:bookmarkEnd w:id="1"/>
      <w:bookmarkEnd w:id="2"/>
    </w:p>
    <w:p w14:paraId="4ADB3847" w14:textId="77777777" w:rsidR="00691C59" w:rsidRDefault="00691C59" w:rsidP="002E5F2B">
      <w:pPr>
        <w:pStyle w:val="Paragraphe-CGPC"/>
        <w:rPr>
          <w:rFonts w:eastAsiaTheme="majorEastAsia"/>
          <w:color w:val="3A5D9C"/>
          <w:sz w:val="44"/>
          <w:szCs w:val="26"/>
          <w:bdr w:val="none" w:sz="0" w:space="0" w:color="auto" w:frame="1"/>
        </w:rPr>
      </w:pPr>
      <w:r>
        <w:br w:type="page"/>
      </w:r>
    </w:p>
    <w:p w14:paraId="59D9A047" w14:textId="77777777" w:rsidR="00CB575E" w:rsidRPr="009201C0" w:rsidRDefault="00CB575E" w:rsidP="002E5F2B">
      <w:pPr>
        <w:pStyle w:val="Paragraphe-CGPC"/>
      </w:pPr>
      <w:r w:rsidRPr="0033738F">
        <w:rPr>
          <w:b/>
        </w:rPr>
        <w:lastRenderedPageBreak/>
        <w:t>L’impôt sur le revenu</w:t>
      </w:r>
      <w:r w:rsidRPr="009201C0">
        <w:t xml:space="preserve"> (IR) frappe, en France, l’ensemble des revenus des personnes physiques, que celles-ci les recueillent directement ou indirectement, c’est-à-dire en tant que membres d’une société de personnes. Dans cette dernière hypothèse, aucune imposition ne sera établie au nom de la société ; en revanche, les bénéfices seront taxés à l’IR au nom des associés personnes physiques, dans la catégorie qui correspond à l’activité de la société, pour la part des bénéfices sociaux correspondant à leurs droits dans celle-ci. L’Impôt sur le revenu répond à 3 grands principes :</w:t>
      </w:r>
    </w:p>
    <w:p w14:paraId="0CE6BCE1" w14:textId="77777777" w:rsidR="00CB575E" w:rsidRDefault="00CB575E" w:rsidP="002E5F2B">
      <w:pPr>
        <w:pStyle w:val="Paragraphe-CGPC"/>
        <w:numPr>
          <w:ilvl w:val="0"/>
          <w:numId w:val="27"/>
        </w:numPr>
      </w:pPr>
      <w:r w:rsidRPr="004F4BBF">
        <w:rPr>
          <w:rStyle w:val="lev"/>
        </w:rPr>
        <w:t>1</w:t>
      </w:r>
      <w:r w:rsidRPr="004F4BBF">
        <w:rPr>
          <w:rStyle w:val="lev"/>
          <w:vertAlign w:val="superscript"/>
        </w:rPr>
        <w:t>er</w:t>
      </w:r>
      <w:r w:rsidRPr="004F4BBF">
        <w:rPr>
          <w:rStyle w:val="lev"/>
        </w:rPr>
        <w:t> principe :</w:t>
      </w:r>
      <w:r w:rsidRPr="004F4BBF">
        <w:t> l’IR apparait, d’abord, comme un impôt différencié et global en ce qu’il vient taxer différentes catégories de revenus, qu’il s’agisse de revenus du travail, du capital ou des gains en capital mobilier et immobilier ; cette taxation est faite sur une base nette, c’est-à-dire que l’on retranche de chaque revenu les charges supportées pour l’acquérir,</w:t>
      </w:r>
    </w:p>
    <w:p w14:paraId="72E76175" w14:textId="77777777" w:rsidR="00EF318E" w:rsidRPr="004F4BBF" w:rsidRDefault="00EF318E" w:rsidP="002E5F2B">
      <w:pPr>
        <w:pStyle w:val="Paragraphe-CGPC"/>
      </w:pPr>
    </w:p>
    <w:p w14:paraId="6350899C" w14:textId="04A8F83A" w:rsidR="00EF318E" w:rsidRDefault="00CB575E" w:rsidP="002E5F2B">
      <w:pPr>
        <w:pStyle w:val="Paragraphe-CGPC"/>
        <w:numPr>
          <w:ilvl w:val="0"/>
          <w:numId w:val="27"/>
        </w:numPr>
      </w:pPr>
      <w:r w:rsidRPr="004F4BBF">
        <w:rPr>
          <w:rStyle w:val="lev"/>
        </w:rPr>
        <w:t>2</w:t>
      </w:r>
      <w:r w:rsidRPr="004F4BBF">
        <w:rPr>
          <w:rStyle w:val="lev"/>
          <w:vertAlign w:val="superscript"/>
        </w:rPr>
        <w:t>ème</w:t>
      </w:r>
      <w:r w:rsidRPr="004F4BBF">
        <w:rPr>
          <w:rStyle w:val="lev"/>
        </w:rPr>
        <w:t> principe :</w:t>
      </w:r>
      <w:r w:rsidRPr="004F4BBF">
        <w:t xml:space="preserve"> l’IR est personnalisé, en ce que la situation personnelle du contribuable est prise en compte au travers </w:t>
      </w:r>
      <w:r w:rsidR="001554C6" w:rsidRPr="004F4BBF">
        <w:t xml:space="preserve">de la détermination de la composition du foyer fiscal </w:t>
      </w:r>
      <w:r w:rsidR="00CC4624" w:rsidRPr="004F4BBF">
        <w:t>permettant ainsi de calculer</w:t>
      </w:r>
      <w:r w:rsidRPr="004F4BBF">
        <w:t xml:space="preserve"> </w:t>
      </w:r>
      <w:r w:rsidR="00CC4624" w:rsidRPr="004F4BBF">
        <w:t>le</w:t>
      </w:r>
      <w:r w:rsidRPr="004F4BBF">
        <w:t xml:space="preserve"> nombre de parts (enfants mineur à charge, …)</w:t>
      </w:r>
    </w:p>
    <w:p w14:paraId="0BEF9626" w14:textId="77777777" w:rsidR="00EF318E" w:rsidRPr="004F4BBF" w:rsidRDefault="00EF318E" w:rsidP="002E5F2B">
      <w:pPr>
        <w:pStyle w:val="Paragraphe-CGPC"/>
      </w:pPr>
    </w:p>
    <w:p w14:paraId="1FD7677A" w14:textId="2B03BE12" w:rsidR="00A3141D" w:rsidRDefault="00CB575E" w:rsidP="002E5F2B">
      <w:pPr>
        <w:pStyle w:val="Paragraphe-CGPC"/>
        <w:numPr>
          <w:ilvl w:val="0"/>
          <w:numId w:val="27"/>
        </w:numPr>
      </w:pPr>
      <w:r w:rsidRPr="004F4BBF">
        <w:rPr>
          <w:rStyle w:val="Accentuation"/>
          <w:b/>
          <w:bCs w:val="0"/>
          <w:i w:val="0"/>
          <w:iCs w:val="0"/>
        </w:rPr>
        <w:t>3</w:t>
      </w:r>
      <w:r w:rsidRPr="004F4BBF">
        <w:rPr>
          <w:rStyle w:val="Accentuation"/>
          <w:b/>
          <w:bCs w:val="0"/>
          <w:i w:val="0"/>
          <w:iCs w:val="0"/>
          <w:vertAlign w:val="superscript"/>
        </w:rPr>
        <w:t>ème</w:t>
      </w:r>
      <w:r w:rsidRPr="004F4BBF">
        <w:rPr>
          <w:rStyle w:val="Accentuation"/>
          <w:b/>
          <w:bCs w:val="0"/>
          <w:i w:val="0"/>
          <w:iCs w:val="0"/>
        </w:rPr>
        <w:t> principe :</w:t>
      </w:r>
      <w:r w:rsidR="004A0048" w:rsidRPr="004F4BBF">
        <w:rPr>
          <w:rStyle w:val="Accentuation"/>
          <w:b/>
          <w:bCs w:val="0"/>
          <w:i w:val="0"/>
          <w:iCs w:val="0"/>
          <w:u w:val="single"/>
        </w:rPr>
        <w:t xml:space="preserve"> </w:t>
      </w:r>
      <w:r w:rsidRPr="004F4BBF">
        <w:t>l’IR</w:t>
      </w:r>
      <w:r w:rsidRPr="009201C0">
        <w:t xml:space="preserve"> est progressif puisqu’il existe plusieurs tranches d’imposition dont le taux croit en fonction de la matière imposable.</w:t>
      </w:r>
    </w:p>
    <w:p w14:paraId="499F7994" w14:textId="77777777" w:rsidR="00A3141D" w:rsidRDefault="00A3141D" w:rsidP="002E5F2B">
      <w:pPr>
        <w:pStyle w:val="Paragraphe-CGPC"/>
      </w:pPr>
      <w:r>
        <w:br w:type="page"/>
      </w:r>
    </w:p>
    <w:p w14:paraId="7345FED3" w14:textId="74F7A7ED" w:rsidR="00CB575E" w:rsidRPr="009201C0" w:rsidRDefault="00CB575E" w:rsidP="002E5F2B">
      <w:pPr>
        <w:pStyle w:val="Titre2"/>
        <w:numPr>
          <w:ilvl w:val="0"/>
          <w:numId w:val="37"/>
        </w:numPr>
      </w:pPr>
      <w:bookmarkStart w:id="3" w:name="_Toc202191561"/>
      <w:bookmarkStart w:id="4" w:name="_Toc207183011"/>
      <w:bookmarkStart w:id="5" w:name="_Toc233204927"/>
      <w:r w:rsidRPr="009201C0">
        <w:lastRenderedPageBreak/>
        <w:t>Définitions</w:t>
      </w:r>
      <w:bookmarkEnd w:id="3"/>
      <w:bookmarkEnd w:id="4"/>
      <w:bookmarkEnd w:id="5"/>
      <w:r w:rsidRPr="009201C0">
        <w:t> </w:t>
      </w:r>
    </w:p>
    <w:p w14:paraId="1CEB5F2C" w14:textId="3266AE6D" w:rsidR="0039687B" w:rsidRDefault="00CB575E" w:rsidP="00CC25D3">
      <w:pPr>
        <w:pStyle w:val="Paragraphe-CGPC"/>
        <w:tabs>
          <w:tab w:val="left" w:pos="18711"/>
        </w:tabs>
      </w:pPr>
      <w:r w:rsidRPr="009201C0">
        <w:t xml:space="preserve">L’administration fiscale utilise </w:t>
      </w:r>
      <w:r w:rsidR="00EF74EE">
        <w:t xml:space="preserve">des </w:t>
      </w:r>
      <w:r w:rsidRPr="009201C0">
        <w:t>terminologie</w:t>
      </w:r>
      <w:r w:rsidR="00EF74EE">
        <w:t>s</w:t>
      </w:r>
      <w:r w:rsidRPr="009201C0">
        <w:t xml:space="preserve"> différente</w:t>
      </w:r>
      <w:r w:rsidR="00EF74EE">
        <w:t>s</w:t>
      </w:r>
      <w:r w:rsidRPr="009201C0">
        <w:t xml:space="preserve"> selon que l’on se réfère à la déclaration fiscale des revenus ou à la fiche de paye reçue par le salarié. Pour la déclaration de revenus, </w:t>
      </w:r>
      <w:r w:rsidR="00B9033E">
        <w:t xml:space="preserve">on </w:t>
      </w:r>
      <w:r w:rsidRPr="009201C0">
        <w:t>parle</w:t>
      </w:r>
      <w:r w:rsidR="00785435">
        <w:t xml:space="preserve"> </w:t>
      </w:r>
      <w:r w:rsidRPr="009201C0">
        <w:t>de revenu net imposable, lequel correspond au revenu net global duquel sont soustraits les abattements. Sur la fiche de paye, on parle de salaire net imposable, lequel correspond au salaire que le salarié doit déclarer aux impôts</w:t>
      </w:r>
      <w:r w:rsidR="00C13566">
        <w:t xml:space="preserve"> : </w:t>
      </w:r>
      <w:r w:rsidR="00CB23EC">
        <w:t>s</w:t>
      </w:r>
      <w:r w:rsidRPr="00C13566">
        <w:t>alaire net imposable</w:t>
      </w:r>
      <w:r w:rsidRPr="009201C0">
        <w:t xml:space="preserve"> = </w:t>
      </w:r>
      <w:r w:rsidR="00CB23EC">
        <w:t>s</w:t>
      </w:r>
      <w:r w:rsidR="00CB23EC" w:rsidRPr="009201C0">
        <w:t xml:space="preserve">alaire </w:t>
      </w:r>
      <w:r w:rsidR="00785435">
        <w:t>net</w:t>
      </w:r>
      <w:r w:rsidR="00785435" w:rsidRPr="009201C0">
        <w:t xml:space="preserve"> </w:t>
      </w:r>
      <w:r w:rsidRPr="009201C0">
        <w:t xml:space="preserve">+ CSG/CRDS imposable. </w:t>
      </w:r>
    </w:p>
    <w:p w14:paraId="5F4DD7F7" w14:textId="46D79F83" w:rsidR="00CB575E" w:rsidRPr="009201C0" w:rsidRDefault="00CB575E" w:rsidP="00CB23EC">
      <w:pPr>
        <w:pStyle w:val="Paragraphe-CGPC"/>
        <w:tabs>
          <w:tab w:val="left" w:pos="18711"/>
        </w:tabs>
      </w:pPr>
      <w:r w:rsidRPr="009201C0">
        <w:t>C’est pourquoi il est essentiel de connaître précisément la terminologie employée par l’administration fiscale.</w:t>
      </w:r>
    </w:p>
    <w:p w14:paraId="48630D8D" w14:textId="77777777" w:rsidR="00CB575E" w:rsidRPr="009201C0" w:rsidRDefault="00CB575E" w:rsidP="00CB575E">
      <w:pPr>
        <w:pStyle w:val="NormalWeb"/>
        <w:spacing w:before="0" w:beforeAutospacing="0" w:after="0" w:afterAutospacing="0"/>
        <w:jc w:val="both"/>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1B0BA681" w14:textId="0593D44E" w:rsidR="00CB575E" w:rsidRPr="009201C0" w:rsidRDefault="00CB575E" w:rsidP="002E5F2B">
      <w:pPr>
        <w:pStyle w:val="Titre2"/>
      </w:pPr>
      <w:bookmarkStart w:id="6" w:name="_Toc202191562"/>
      <w:bookmarkStart w:id="7" w:name="_Toc207183012"/>
      <w:bookmarkStart w:id="8" w:name="_Toc233204928"/>
      <w:r w:rsidRPr="009201C0">
        <w:t>Un revenu global</w:t>
      </w:r>
      <w:bookmarkEnd w:id="6"/>
      <w:bookmarkEnd w:id="7"/>
      <w:bookmarkEnd w:id="8"/>
      <w:r w:rsidRPr="009201C0">
        <w:t> </w:t>
      </w:r>
    </w:p>
    <w:p w14:paraId="28FF52E5" w14:textId="77777777" w:rsidR="00CB575E" w:rsidRPr="009201C0" w:rsidRDefault="00CB575E" w:rsidP="002E5F2B">
      <w:pPr>
        <w:pStyle w:val="Paragraphe-CGPC"/>
      </w:pPr>
      <w:r w:rsidRPr="009201C0">
        <w:t>Tous les revenus, gains et bénéfices perçus sur une période déterminée doivent être déclarés et soumis à l’IR.</w:t>
      </w:r>
    </w:p>
    <w:p w14:paraId="661BDF39" w14:textId="77777777" w:rsidR="00CB575E" w:rsidRPr="009201C0" w:rsidRDefault="00CB575E" w:rsidP="002E5F2B">
      <w:pPr>
        <w:pStyle w:val="Paragraphe-CGPC"/>
      </w:pPr>
      <w:r w:rsidRPr="009201C0">
        <w:t>Les revenus à déclarer et la période de référence sont cités à l’article 1A du CGI</w:t>
      </w:r>
    </w:p>
    <w:p w14:paraId="564F8B36" w14:textId="77777777" w:rsidR="00CB575E" w:rsidRPr="004A0048" w:rsidRDefault="00CB575E" w:rsidP="002E5F2B">
      <w:pPr>
        <w:pStyle w:val="Paragraphe-CGPC"/>
      </w:pPr>
      <w:r w:rsidRPr="004A0048">
        <w:rPr>
          <w:rStyle w:val="Accentuation"/>
        </w:rPr>
        <w:t>« Il est établi un impôt annuel unique sur le revenu des personnes physiques désigné sous le nom d’impôt sur le revenu. Cet impôt frappe le revenu net global du contribuable.</w:t>
      </w:r>
    </w:p>
    <w:p w14:paraId="449C79F9" w14:textId="77777777" w:rsidR="00CB575E" w:rsidRPr="004A0048" w:rsidRDefault="00CB575E" w:rsidP="002E5F2B">
      <w:pPr>
        <w:pStyle w:val="Paragraphe-CGPC"/>
      </w:pPr>
      <w:r w:rsidRPr="004A0048">
        <w:rPr>
          <w:rStyle w:val="Accentuation"/>
        </w:rPr>
        <w:t>Ce revenu net global est constitué par le total des revenus nets des catégories suivantes :</w:t>
      </w:r>
    </w:p>
    <w:p w14:paraId="420019C0" w14:textId="77777777" w:rsidR="00CB575E" w:rsidRPr="004A0048" w:rsidRDefault="00CB575E" w:rsidP="002E5F2B">
      <w:pPr>
        <w:pStyle w:val="Paragraphe-CGPC"/>
        <w:numPr>
          <w:ilvl w:val="0"/>
          <w:numId w:val="28"/>
        </w:numPr>
      </w:pPr>
      <w:r w:rsidRPr="004A0048">
        <w:rPr>
          <w:rStyle w:val="Accentuation"/>
        </w:rPr>
        <w:t>revenus fonciers ;</w:t>
      </w:r>
    </w:p>
    <w:p w14:paraId="18E8C1DB" w14:textId="77777777" w:rsidR="00CB575E" w:rsidRPr="004A0048" w:rsidRDefault="00CB575E" w:rsidP="002E5F2B">
      <w:pPr>
        <w:pStyle w:val="Paragraphe-CGPC"/>
        <w:numPr>
          <w:ilvl w:val="0"/>
          <w:numId w:val="28"/>
        </w:numPr>
      </w:pPr>
      <w:r w:rsidRPr="004A0048">
        <w:rPr>
          <w:rStyle w:val="Accentuation"/>
        </w:rPr>
        <w:t>bénéfices industriels et commerciaux ;</w:t>
      </w:r>
    </w:p>
    <w:p w14:paraId="34619FA3" w14:textId="77777777" w:rsidR="00CB575E" w:rsidRPr="004A0048" w:rsidRDefault="00CB575E" w:rsidP="002E5F2B">
      <w:pPr>
        <w:pStyle w:val="Paragraphe-CGPC"/>
        <w:numPr>
          <w:ilvl w:val="0"/>
          <w:numId w:val="28"/>
        </w:numPr>
      </w:pPr>
      <w:r w:rsidRPr="004A0048">
        <w:rPr>
          <w:rStyle w:val="Accentuation"/>
        </w:rPr>
        <w:t>rémunérations, d’une part, des gérants majoritaires des sociétés à responsabilité limitée et des gérants des sociétés en commandite par actions et, d’autre part, des associés en nom des sociétés de personnes et des membres des sociétés en participation lorsque ces sociétés ont opté pour le régime fiscal des sociétés de capitaux ;</w:t>
      </w:r>
    </w:p>
    <w:p w14:paraId="20360915" w14:textId="77777777" w:rsidR="00CB575E" w:rsidRPr="004A0048" w:rsidRDefault="00CB575E" w:rsidP="002E5F2B">
      <w:pPr>
        <w:pStyle w:val="Paragraphe-CGPC"/>
        <w:numPr>
          <w:ilvl w:val="0"/>
          <w:numId w:val="28"/>
        </w:numPr>
      </w:pPr>
      <w:r w:rsidRPr="004A0048">
        <w:rPr>
          <w:rStyle w:val="Accentuation"/>
        </w:rPr>
        <w:t>bénéfices de l’exploitation agricole ;</w:t>
      </w:r>
    </w:p>
    <w:p w14:paraId="54072E70" w14:textId="77777777" w:rsidR="00CB575E" w:rsidRPr="004A0048" w:rsidRDefault="00CB575E" w:rsidP="002E5F2B">
      <w:pPr>
        <w:pStyle w:val="Paragraphe-CGPC"/>
        <w:numPr>
          <w:ilvl w:val="0"/>
          <w:numId w:val="28"/>
        </w:numPr>
      </w:pPr>
      <w:r w:rsidRPr="004A0048">
        <w:rPr>
          <w:rStyle w:val="Accentuation"/>
        </w:rPr>
        <w:t>traitements, salaires, indemnités, émoluments, pensions et rentes viagères ;</w:t>
      </w:r>
    </w:p>
    <w:p w14:paraId="328D674A" w14:textId="77777777" w:rsidR="00CB575E" w:rsidRPr="004A0048" w:rsidRDefault="00CB575E" w:rsidP="002E5F2B">
      <w:pPr>
        <w:pStyle w:val="Paragraphe-CGPC"/>
        <w:numPr>
          <w:ilvl w:val="0"/>
          <w:numId w:val="28"/>
        </w:numPr>
      </w:pPr>
      <w:r w:rsidRPr="004A0048">
        <w:rPr>
          <w:rStyle w:val="Accentuation"/>
        </w:rPr>
        <w:t>bénéfices des professions non commerciales et revenus y assimilés ;</w:t>
      </w:r>
    </w:p>
    <w:p w14:paraId="75C04B3C" w14:textId="77777777" w:rsidR="00CB575E" w:rsidRPr="004A0048" w:rsidRDefault="00CB575E" w:rsidP="002E5F2B">
      <w:pPr>
        <w:pStyle w:val="Paragraphe-CGPC"/>
        <w:numPr>
          <w:ilvl w:val="0"/>
          <w:numId w:val="28"/>
        </w:numPr>
      </w:pPr>
      <w:r w:rsidRPr="004A0048">
        <w:rPr>
          <w:rStyle w:val="Accentuation"/>
        </w:rPr>
        <w:t>revenus de capitaux mobiliers ;</w:t>
      </w:r>
    </w:p>
    <w:p w14:paraId="6D133654" w14:textId="77777777" w:rsidR="00CB575E" w:rsidRPr="004A0048" w:rsidRDefault="00CB575E" w:rsidP="002E5F2B">
      <w:pPr>
        <w:pStyle w:val="Paragraphe-CGPC"/>
        <w:numPr>
          <w:ilvl w:val="0"/>
          <w:numId w:val="28"/>
        </w:numPr>
      </w:pPr>
      <w:r w:rsidRPr="004A0048">
        <w:rPr>
          <w:rStyle w:val="Accentuation"/>
        </w:rPr>
        <w:lastRenderedPageBreak/>
        <w:t>plus-values de cession à titre onéreux de biens ou de droits de toute nature, déterminés conformément aux dispositions des articles 14 à 155, total dont sont retranchées les charges énumérées à l’article 156 »</w:t>
      </w:r>
    </w:p>
    <w:p w14:paraId="15182656" w14:textId="77777777" w:rsidR="00CB575E" w:rsidRPr="009201C0" w:rsidRDefault="00CB575E" w:rsidP="00CB575E">
      <w:pPr>
        <w:pStyle w:val="NormalWeb"/>
        <w:shd w:val="clear" w:color="auto" w:fill="FFFFFF"/>
        <w:spacing w:before="0" w:beforeAutospacing="0" w:after="0" w:afterAutospacing="0"/>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5A83616B" w14:textId="4081EFFF" w:rsidR="00CB575E" w:rsidRPr="009201C0" w:rsidRDefault="00CB575E" w:rsidP="002E5F2B">
      <w:pPr>
        <w:pStyle w:val="Titre2"/>
      </w:pPr>
      <w:bookmarkStart w:id="9" w:name="_Toc202191563"/>
      <w:bookmarkStart w:id="10" w:name="_Toc207183013"/>
      <w:bookmarkStart w:id="11" w:name="_Toc233204929"/>
      <w:r w:rsidRPr="009201C0">
        <w:t>Un revenu par foyer</w:t>
      </w:r>
      <w:bookmarkEnd w:id="9"/>
      <w:bookmarkEnd w:id="10"/>
      <w:bookmarkEnd w:id="11"/>
      <w:r w:rsidRPr="009201C0">
        <w:t> </w:t>
      </w:r>
    </w:p>
    <w:p w14:paraId="7D3D3E34" w14:textId="77777777" w:rsidR="00CB575E" w:rsidRDefault="00CB575E" w:rsidP="00CB575E">
      <w:pPr>
        <w:pStyle w:val="NormalWeb"/>
        <w:spacing w:before="0" w:beforeAutospacing="0" w:after="0" w:afterAutospacing="0"/>
        <w:jc w:val="both"/>
        <w:textAlignment w:val="baseline"/>
        <w:rPr>
          <w:rFonts w:ascii="Open Sans" w:hAnsi="Open Sans" w:cs="Open Sans"/>
          <w:color w:val="666666"/>
        </w:rPr>
      </w:pPr>
      <w:r w:rsidRPr="004A0048">
        <w:rPr>
          <w:rFonts w:ascii="Open Sans" w:hAnsi="Open Sans" w:cs="Open Sans"/>
          <w:color w:val="666666"/>
        </w:rPr>
        <w:t>C’est un revenu qui se calcule </w:t>
      </w:r>
      <w:r w:rsidRPr="004A0048">
        <w:rPr>
          <w:rStyle w:val="lev"/>
          <w:rFonts w:ascii="Open Sans" w:eastAsiaTheme="majorEastAsia" w:hAnsi="Open Sans" w:cs="Open Sans"/>
          <w:color w:val="666666"/>
        </w:rPr>
        <w:t>par foyer fiscal</w:t>
      </w:r>
      <w:r w:rsidRPr="004A0048">
        <w:rPr>
          <w:rFonts w:ascii="Open Sans" w:hAnsi="Open Sans" w:cs="Open Sans"/>
          <w:color w:val="666666"/>
        </w:rPr>
        <w:t>. Il faut donc additionner les revenus du contribuable, ceux de son conjoint ou du partenaire avec lequel il a conclu un PACS, et ceux des personnes qui sont à leur charge.</w:t>
      </w:r>
    </w:p>
    <w:p w14:paraId="523234BF" w14:textId="77777777" w:rsidR="00AF76F7" w:rsidRPr="004A0048" w:rsidRDefault="00AF76F7" w:rsidP="00CB575E">
      <w:pPr>
        <w:pStyle w:val="NormalWeb"/>
        <w:spacing w:before="0" w:beforeAutospacing="0" w:after="0" w:afterAutospacing="0"/>
        <w:jc w:val="both"/>
        <w:textAlignment w:val="baseline"/>
        <w:rPr>
          <w:rFonts w:ascii="Open Sans" w:hAnsi="Open Sans" w:cs="Open Sans"/>
          <w:color w:val="666666"/>
        </w:rPr>
      </w:pPr>
    </w:p>
    <w:p w14:paraId="31884628" w14:textId="77777777" w:rsidR="00CB575E" w:rsidRPr="004A0048" w:rsidRDefault="00CB575E" w:rsidP="00CB575E">
      <w:pPr>
        <w:pStyle w:val="NormalWeb"/>
        <w:spacing w:before="0" w:beforeAutospacing="0" w:after="0" w:afterAutospacing="0"/>
        <w:jc w:val="both"/>
        <w:textAlignment w:val="baseline"/>
        <w:rPr>
          <w:rFonts w:ascii="Open Sans" w:hAnsi="Open Sans" w:cs="Open Sans"/>
          <w:color w:val="666666"/>
        </w:rPr>
      </w:pPr>
      <w:r w:rsidRPr="004A0048">
        <w:rPr>
          <w:rFonts w:ascii="Open Sans" w:hAnsi="Open Sans" w:cs="Open Sans"/>
          <w:color w:val="666666"/>
        </w:rPr>
        <w:t>L’année qui suit le mariage ou le PACS, le couple a le choix de faire une déclaration d’impôt commune ou séparée. Une option disponible la première année seulement, les conjoints pacsés ou mariés sont ensuite considérés comme un foyer fiscal unique et devront opter pour la déclaration d’impôt commune.</w:t>
      </w:r>
    </w:p>
    <w:p w14:paraId="53F82A59" w14:textId="77777777" w:rsidR="00CB575E" w:rsidRPr="009201C0" w:rsidRDefault="00CB575E" w:rsidP="00CB575E">
      <w:pPr>
        <w:pStyle w:val="NormalWeb"/>
        <w:spacing w:before="0" w:beforeAutospacing="0" w:after="0" w:afterAutospacing="0"/>
        <w:jc w:val="both"/>
        <w:textAlignment w:val="baseline"/>
        <w:rPr>
          <w:rFonts w:ascii="Open Sans" w:hAnsi="Open Sans" w:cs="Open Sans"/>
          <w:color w:val="666666"/>
        </w:rPr>
      </w:pPr>
      <w:r w:rsidRPr="009201C0">
        <w:rPr>
          <w:rFonts w:ascii="Open Sans" w:hAnsi="Open Sans" w:cs="Open Sans"/>
          <w:color w:val="666666"/>
        </w:rPr>
        <w:t> </w:t>
      </w:r>
    </w:p>
    <w:p w14:paraId="727D6C8C" w14:textId="030687B4" w:rsidR="00CB575E" w:rsidRPr="009201C0" w:rsidRDefault="00CB575E" w:rsidP="002E5F2B">
      <w:pPr>
        <w:pStyle w:val="Titre2"/>
      </w:pPr>
      <w:bookmarkStart w:id="12" w:name="_Toc202191564"/>
      <w:bookmarkStart w:id="13" w:name="_Toc207183014"/>
      <w:bookmarkStart w:id="14" w:name="_Toc233204930"/>
      <w:r w:rsidRPr="009201C0">
        <w:t>Un revenu disponible</w:t>
      </w:r>
      <w:bookmarkEnd w:id="12"/>
      <w:bookmarkEnd w:id="13"/>
      <w:bookmarkEnd w:id="14"/>
    </w:p>
    <w:p w14:paraId="50BA3D5B" w14:textId="77777777" w:rsidR="00CB575E" w:rsidRPr="009201C0" w:rsidRDefault="00CB575E" w:rsidP="002E5F2B">
      <w:pPr>
        <w:pStyle w:val="Paragraphe-CGPC"/>
      </w:pPr>
      <w:r w:rsidRPr="009201C0">
        <w:t>C’est le revenu dont le contribuable a disposé au cours de l’année d’imposition.</w:t>
      </w:r>
    </w:p>
    <w:p w14:paraId="13D0A7B3" w14:textId="5A5D75AB" w:rsidR="00CB575E" w:rsidRPr="009201C0" w:rsidRDefault="00CB575E" w:rsidP="002E5F2B">
      <w:pPr>
        <w:pStyle w:val="Titre2"/>
      </w:pPr>
      <w:bookmarkStart w:id="15" w:name="_Toc202191565"/>
      <w:bookmarkStart w:id="16" w:name="_Toc207183015"/>
      <w:bookmarkStart w:id="17" w:name="_Toc233204931"/>
      <w:r w:rsidRPr="009201C0">
        <w:t>Un revenu net catégoriel</w:t>
      </w:r>
      <w:bookmarkEnd w:id="15"/>
      <w:bookmarkEnd w:id="16"/>
      <w:bookmarkEnd w:id="17"/>
    </w:p>
    <w:p w14:paraId="46BE371F" w14:textId="0F8EDB2D" w:rsidR="00CB575E" w:rsidRPr="009201C0" w:rsidRDefault="00CB575E" w:rsidP="002E5F2B">
      <w:pPr>
        <w:pStyle w:val="Paragraphe-CGPC"/>
      </w:pPr>
      <w:r w:rsidRPr="009201C0">
        <w:t xml:space="preserve">Chaque catégorie de revenus n’est prise en compte que pour son montant net et non pour son montant brut. Il convient </w:t>
      </w:r>
      <w:r w:rsidR="004C398A" w:rsidRPr="009201C0">
        <w:t>notamment</w:t>
      </w:r>
      <w:r w:rsidRPr="009201C0">
        <w:t xml:space="preserve"> de déduire de chaque revenu brut les cotisations et prélèvements (non libératoires) obligatoires ainsi que les dépenses engagées en vue de son acquisition et de sa conservation.</w:t>
      </w:r>
    </w:p>
    <w:p w14:paraId="08C2B689" w14:textId="77777777" w:rsidR="00AF76F7" w:rsidRDefault="002F61D9" w:rsidP="002E5F2B">
      <w:pPr>
        <w:pStyle w:val="Paragraphe-CGPC"/>
      </w:pPr>
      <w:r w:rsidRPr="009201C0">
        <w:t xml:space="preserve">Les frais occasionnés par la gestion des revenus du patrimoine des majeurs placés sous tutelle ou sous curatelle, qui constituent des dépenses engagées en vue d'acquérir ces revenus, sont déductibles pour l'établissement de l'impôt dû par les intéressés comme l'ensemble des charges exposées à cette fin. Cette déduction s'opère selon les règles propres à chacune des catégories de l'impôt sur le revenu à laquelle se rattachent les produits du patrimoine en cause. Ainsi, la déduction des frais de tutelle peut être pratiquée sur tous les revenus dès lors qu'ils sont soumis à l'impôt sur le revenu. </w:t>
      </w:r>
    </w:p>
    <w:p w14:paraId="1B778D59" w14:textId="77777777" w:rsidR="00AF76F7" w:rsidRDefault="002F61D9" w:rsidP="002E5F2B">
      <w:pPr>
        <w:pStyle w:val="Paragraphe-CGPC"/>
      </w:pPr>
      <w:r w:rsidRPr="009201C0">
        <w:t xml:space="preserve">Dans la généralité des cas, leur imputation s'effectue sur le montant brut du revenu concerné (traitements, salaires, pensions, revenus de capitaux mobiliers, revenus fonciers, etc.), conformément aux dispositions de l'article 13 du CGI. En particulier, les traitements et salaires ou les pensions déclarés pour le compte des incapables majeurs peuvent être minorés des frais de tutelle avant application de la déduction </w:t>
      </w:r>
      <w:r w:rsidRPr="009201C0">
        <w:lastRenderedPageBreak/>
        <w:t xml:space="preserve">forfaitaire de 10 % pour frais professionnels ou de l'abattement spécial de 10 % relatif aux pensions, dès lors que ces frais ont bien été prélevés sur la rémunération ou la pension mise à leur disposition. </w:t>
      </w:r>
    </w:p>
    <w:p w14:paraId="5B380AFA" w14:textId="77777777" w:rsidR="00AF76F7" w:rsidRDefault="002F61D9" w:rsidP="002E5F2B">
      <w:pPr>
        <w:pStyle w:val="Paragraphe-CGPC"/>
      </w:pPr>
      <w:r w:rsidRPr="009201C0">
        <w:t xml:space="preserve">En matière de revenus fonciers, les frais de tutelle sont imputables sur le revenu brut foncier par une déduction en frais et charges en application du e du 1° du I de l'article 31 du CGI. </w:t>
      </w:r>
    </w:p>
    <w:p w14:paraId="14079624" w14:textId="547658C3" w:rsidR="002F61D9" w:rsidRPr="009201C0" w:rsidRDefault="002F61D9" w:rsidP="002E5F2B">
      <w:pPr>
        <w:pStyle w:val="Paragraphe-CGPC"/>
      </w:pPr>
      <w:r w:rsidRPr="009201C0">
        <w:t>En matière de revenus de capitaux mobiliers, les frais de tutelle ne sont imputables qu’en cas d’option pour l’imposition d’ensemble des revenus de capitaux mobiliers et gains de cession de valeurs mobilières au barème progressif. Ils sont à déclarer en ligne 2CA “Frais et charges déductibles si option barème”</w:t>
      </w:r>
    </w:p>
    <w:p w14:paraId="0A5589D7" w14:textId="77777777" w:rsidR="00CB575E" w:rsidRPr="009201C0" w:rsidRDefault="00CB575E" w:rsidP="00CB575E">
      <w:pPr>
        <w:pStyle w:val="NormalWeb"/>
        <w:shd w:val="clear" w:color="auto" w:fill="FFFFFF"/>
        <w:spacing w:before="0" w:beforeAutospacing="0" w:after="0" w:afterAutospacing="0"/>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0E95ADF6" w14:textId="69D88475" w:rsidR="00CB575E" w:rsidRPr="009201C0" w:rsidRDefault="00CB575E" w:rsidP="002E5F2B">
      <w:pPr>
        <w:pStyle w:val="Titre2"/>
      </w:pPr>
      <w:bookmarkStart w:id="18" w:name="_Toc202191566"/>
      <w:bookmarkStart w:id="19" w:name="_Toc207183016"/>
      <w:bookmarkStart w:id="20" w:name="_Toc233204932"/>
      <w:r w:rsidRPr="009201C0">
        <w:t>Un revenu brut global</w:t>
      </w:r>
      <w:bookmarkEnd w:id="18"/>
      <w:bookmarkEnd w:id="19"/>
      <w:bookmarkEnd w:id="20"/>
      <w:r w:rsidRPr="009201C0">
        <w:t> </w:t>
      </w:r>
    </w:p>
    <w:p w14:paraId="1F3F7A54" w14:textId="77777777" w:rsidR="00CB575E" w:rsidRPr="009201C0" w:rsidRDefault="00CB575E" w:rsidP="002E5F2B">
      <w:pPr>
        <w:pStyle w:val="Paragraphe-CGPC"/>
      </w:pPr>
      <w:r w:rsidRPr="009201C0">
        <w:t>Le revenu brut global est égal au revenu global diminué des déficits globaux antérieurs des 6 dernières années.</w:t>
      </w:r>
    </w:p>
    <w:p w14:paraId="6144B8B0" w14:textId="77777777" w:rsidR="00CB575E" w:rsidRPr="009201C0" w:rsidRDefault="00CB575E" w:rsidP="002E5F2B">
      <w:pPr>
        <w:pStyle w:val="Paragraphe-CGPC"/>
      </w:pPr>
      <w:r w:rsidRPr="009201C0">
        <w:t> </w:t>
      </w:r>
    </w:p>
    <w:p w14:paraId="246E1F6A" w14:textId="7B874C13" w:rsidR="00CB575E" w:rsidRPr="009201C0" w:rsidRDefault="00CB575E" w:rsidP="002E5F2B">
      <w:pPr>
        <w:pStyle w:val="Titre2"/>
      </w:pPr>
      <w:bookmarkStart w:id="21" w:name="_Toc202191567"/>
      <w:bookmarkStart w:id="22" w:name="_Toc207183017"/>
      <w:bookmarkStart w:id="23" w:name="_Toc233204933"/>
      <w:r w:rsidRPr="009201C0">
        <w:t>Un revenu fiscal de référence</w:t>
      </w:r>
      <w:bookmarkEnd w:id="21"/>
      <w:bookmarkEnd w:id="22"/>
      <w:bookmarkEnd w:id="23"/>
    </w:p>
    <w:p w14:paraId="2FB7F96E" w14:textId="77777777" w:rsidR="00CB575E" w:rsidRPr="009201C0" w:rsidRDefault="00CB575E" w:rsidP="002E5F2B">
      <w:pPr>
        <w:pStyle w:val="Paragraphe-CGPC"/>
      </w:pPr>
      <w:r w:rsidRPr="009201C0">
        <w:t>Le revenu fiscal de référence (</w:t>
      </w:r>
      <w:r w:rsidRPr="00AF76F7">
        <w:rPr>
          <w:b/>
        </w:rPr>
        <w:t>RFR</w:t>
      </w:r>
      <w:r w:rsidRPr="009201C0">
        <w:t>) est le montant net des revenus et plus-values imposables, auquel s’ajoutent certains revenus exonérés et abattements. Il est calculé par l’administration fiscale et figure sur l’avis d’imposition.</w:t>
      </w:r>
    </w:p>
    <w:p w14:paraId="3FE8B539" w14:textId="77777777" w:rsidR="00CB575E" w:rsidRPr="009201C0" w:rsidRDefault="00CB575E" w:rsidP="002E5F2B">
      <w:pPr>
        <w:pStyle w:val="Paragraphe-CGPC"/>
      </w:pPr>
      <w:r w:rsidRPr="009201C0">
        <w:t>Le revenu fiscal de référence sert notamment de critère pour l’exonération ou d’allégement de taxe foncière afférentes à l’habitation principale, l’exonération des plus-values immobilières réalisées par les titulaires de pensions de vieillesse ou d’une carte d’invalidité, l’établissement de la contribution exceptionnelle sur les hauts revenus (</w:t>
      </w:r>
      <w:r w:rsidRPr="00883512">
        <w:rPr>
          <w:b/>
        </w:rPr>
        <w:t>CEHR</w:t>
      </w:r>
      <w:r w:rsidRPr="009201C0">
        <w:t>).</w:t>
      </w:r>
    </w:p>
    <w:p w14:paraId="5D7D1164" w14:textId="77777777" w:rsidR="00CB575E" w:rsidRPr="009201C0" w:rsidRDefault="00CB575E" w:rsidP="002E5F2B">
      <w:pPr>
        <w:pStyle w:val="Paragraphe-CGPC"/>
      </w:pPr>
      <w:r w:rsidRPr="009201C0">
        <w:t> </w:t>
      </w:r>
    </w:p>
    <w:p w14:paraId="22110052" w14:textId="15AED5F3" w:rsidR="00CB575E" w:rsidRPr="009201C0" w:rsidRDefault="00CB575E" w:rsidP="002E5F2B">
      <w:pPr>
        <w:pStyle w:val="Titre2"/>
      </w:pPr>
      <w:bookmarkStart w:id="24" w:name="_Toc202191568"/>
      <w:bookmarkStart w:id="25" w:name="_Toc207183018"/>
      <w:bookmarkStart w:id="26" w:name="_Toc233204934"/>
      <w:r w:rsidRPr="009201C0">
        <w:t>Le principe de la progressivité de l’impôt</w:t>
      </w:r>
      <w:bookmarkEnd w:id="24"/>
      <w:bookmarkEnd w:id="25"/>
      <w:bookmarkEnd w:id="26"/>
    </w:p>
    <w:p w14:paraId="01461F36" w14:textId="77777777" w:rsidR="00CB575E" w:rsidRPr="00883512" w:rsidRDefault="00CB575E" w:rsidP="002E5F2B">
      <w:pPr>
        <w:pStyle w:val="Paragraphe-CGPC"/>
      </w:pPr>
      <w:r w:rsidRPr="00883512">
        <w:t>Cela signifie qu’il y a taxation du revenu par </w:t>
      </w:r>
      <w:r w:rsidRPr="00883512">
        <w:rPr>
          <w:b/>
        </w:rPr>
        <w:t>tranches successives</w:t>
      </w:r>
      <w:r w:rsidRPr="00883512">
        <w:t> caractérisées par un </w:t>
      </w:r>
      <w:r w:rsidRPr="00883512">
        <w:rPr>
          <w:b/>
        </w:rPr>
        <w:t>barème croissant</w:t>
      </w:r>
      <w:r w:rsidRPr="00883512">
        <w:t>.</w:t>
      </w:r>
    </w:p>
    <w:p w14:paraId="7A2810CA" w14:textId="77777777" w:rsidR="00CB575E" w:rsidRDefault="00CB575E" w:rsidP="002E5F2B">
      <w:pPr>
        <w:pStyle w:val="Paragraphe-CGPC"/>
      </w:pPr>
      <w:r w:rsidRPr="009201C0">
        <w:t>Les tranches, en tenant compte du taux zéro, sont au nombre de </w:t>
      </w:r>
      <w:r w:rsidRPr="0036719F">
        <w:rPr>
          <w:rStyle w:val="lev"/>
        </w:rPr>
        <w:t>5</w:t>
      </w:r>
      <w:r w:rsidRPr="009201C0">
        <w:t>.</w:t>
      </w:r>
    </w:p>
    <w:p w14:paraId="0578E249" w14:textId="590F313E" w:rsidR="00326C1B" w:rsidRDefault="00326C1B" w:rsidP="002E5F2B">
      <w:pPr>
        <w:pStyle w:val="Paragraphe-CGPC"/>
      </w:pPr>
    </w:p>
    <w:p w14:paraId="1634F6B0" w14:textId="36E0EA65" w:rsidR="0036719F" w:rsidRPr="00CB23EC" w:rsidRDefault="009761CC" w:rsidP="002E5F2B">
      <w:pPr>
        <w:pStyle w:val="Paragraphe-CGPC"/>
        <w:rPr>
          <w:color w:val="EE0000"/>
          <w:u w:val="single"/>
        </w:rPr>
      </w:pPr>
      <w:r>
        <w:t>Le b</w:t>
      </w:r>
      <w:r w:rsidRPr="001661EB">
        <w:t xml:space="preserve">arème </w:t>
      </w:r>
      <w:r w:rsidR="007977FB">
        <w:t>de l’impôt sur le</w:t>
      </w:r>
      <w:r>
        <w:t>s</w:t>
      </w:r>
      <w:r w:rsidR="007977FB">
        <w:t xml:space="preserve"> revenu</w:t>
      </w:r>
      <w:r>
        <w:t>s de</w:t>
      </w:r>
      <w:r w:rsidR="007977FB">
        <w:t xml:space="preserve"> 2025</w:t>
      </w:r>
      <w:r w:rsidR="00326C1B">
        <w:t xml:space="preserve"> est le suivant.</w:t>
      </w:r>
      <w:r w:rsidR="007977FB">
        <w:t xml:space="preserve"> </w:t>
      </w:r>
    </w:p>
    <w:p w14:paraId="3A363587" w14:textId="42A69FAA" w:rsidR="00CB575E" w:rsidRPr="001E75F7" w:rsidRDefault="007E7F4C" w:rsidP="002E5F2B">
      <w:pPr>
        <w:pStyle w:val="Paragraphe-CGPC"/>
      </w:pPr>
      <w:r w:rsidRPr="007E7F4C">
        <w:rPr>
          <w:noProof/>
        </w:rPr>
        <w:drawing>
          <wp:inline distT="0" distB="0" distL="0" distR="0" wp14:anchorId="13BE673A" wp14:editId="0A8ADDDC">
            <wp:extent cx="9021434" cy="3191320"/>
            <wp:effectExtent l="0" t="0" r="8890" b="9525"/>
            <wp:docPr id="15894626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462679" name=""/>
                    <pic:cNvPicPr/>
                  </pic:nvPicPr>
                  <pic:blipFill>
                    <a:blip r:embed="rId11"/>
                    <a:stretch>
                      <a:fillRect/>
                    </a:stretch>
                  </pic:blipFill>
                  <pic:spPr>
                    <a:xfrm>
                      <a:off x="0" y="0"/>
                      <a:ext cx="9021434" cy="3191320"/>
                    </a:xfrm>
                    <a:prstGeom prst="rect">
                      <a:avLst/>
                    </a:prstGeom>
                  </pic:spPr>
                </pic:pic>
              </a:graphicData>
            </a:graphic>
          </wp:inline>
        </w:drawing>
      </w:r>
      <w:r w:rsidR="00CB575E" w:rsidRPr="001E75F7">
        <w:rPr>
          <w:rStyle w:val="lev"/>
          <w:u w:val="single"/>
        </w:rPr>
        <w:t>L’importance accordée à la situation de famille</w:t>
      </w:r>
    </w:p>
    <w:p w14:paraId="4CB0549C" w14:textId="77777777" w:rsidR="00CB575E" w:rsidRPr="009201C0" w:rsidRDefault="00CB575E" w:rsidP="002E5F2B">
      <w:pPr>
        <w:pStyle w:val="Paragraphe-CGPC"/>
      </w:pPr>
      <w:r w:rsidRPr="009201C0">
        <w:t>La tranche applicable est </w:t>
      </w:r>
      <w:r w:rsidRPr="009201C0">
        <w:rPr>
          <w:rStyle w:val="lev"/>
        </w:rPr>
        <w:t>déterminée en fonction du quotient familial</w:t>
      </w:r>
      <w:r w:rsidRPr="009201C0">
        <w:t>, c’est à dire du revenu divisé par le nombre de parts dont bénéficie le foyer fiscal, selon le nombre de personnes à charge (par exemple, 3 parts pour un couple avec deux enfants).</w:t>
      </w:r>
    </w:p>
    <w:p w14:paraId="23AAB2F9" w14:textId="77777777" w:rsidR="00CB575E" w:rsidRPr="009201C0" w:rsidRDefault="00CB575E" w:rsidP="002E5F2B">
      <w:pPr>
        <w:pStyle w:val="Paragraphe-CGPC"/>
      </w:pPr>
      <w:r w:rsidRPr="009201C0">
        <w:t>À revenu égal, </w:t>
      </w:r>
      <w:r w:rsidRPr="009201C0">
        <w:rPr>
          <w:rStyle w:val="lev"/>
        </w:rPr>
        <w:t>l’impôt à payer pour une famille est donc inférieur à celui d’un célibataire</w:t>
      </w:r>
      <w:r w:rsidRPr="009201C0">
        <w:t>. La portée de ce système se trouve limitée dans les faits, à partir de certains seuils de revenus, par le plafonnement des effets du quotient familial.</w:t>
      </w:r>
    </w:p>
    <w:p w14:paraId="66A0CD2D" w14:textId="77777777" w:rsidR="00CB575E" w:rsidRPr="009201C0" w:rsidRDefault="00CB575E" w:rsidP="002E5F2B">
      <w:pPr>
        <w:pStyle w:val="Paragraphe-CGPC"/>
      </w:pPr>
      <w:r w:rsidRPr="009201C0">
        <w:rPr>
          <w:rStyle w:val="lev"/>
        </w:rPr>
        <w:t>La détermination de l’IR</w:t>
      </w:r>
    </w:p>
    <w:p w14:paraId="41EC2591" w14:textId="34D92259" w:rsidR="00CB575E" w:rsidRDefault="00CB575E" w:rsidP="002E5F2B">
      <w:pPr>
        <w:pStyle w:val="Paragraphe-CGPC"/>
      </w:pPr>
      <w:r w:rsidRPr="009201C0">
        <w:t>La détermination de l’IR a lieu à partir d’une </w:t>
      </w:r>
      <w:r w:rsidRPr="00BF2476">
        <w:t>déclaration du contribuable</w:t>
      </w:r>
      <w:r w:rsidRPr="009201C0">
        <w:t> (déclaration n° 2042 – des déclarations complémentaires peuvent être nécessaires s’il y a diversité de revenus, comme les revenus fonciers</w:t>
      </w:r>
      <w:r w:rsidR="00067502">
        <w:t xml:space="preserve"> (2044)</w:t>
      </w:r>
      <w:r w:rsidRPr="009201C0">
        <w:t xml:space="preserve">, les revenus </w:t>
      </w:r>
      <w:r w:rsidR="00670F0A" w:rsidRPr="009201C0">
        <w:t>issus de plus values de cession de valeurs mobilières</w:t>
      </w:r>
      <w:r w:rsidR="00067502">
        <w:t>(20</w:t>
      </w:r>
      <w:r w:rsidR="00E76F92">
        <w:t>74)</w:t>
      </w:r>
      <w:r w:rsidRPr="009201C0">
        <w:t xml:space="preserve">, les bénéfices industriels et commerciaux, </w:t>
      </w:r>
      <w:r w:rsidR="009201C0" w:rsidRPr="009201C0">
        <w:t>etc.</w:t>
      </w:r>
      <w:r w:rsidRPr="009201C0">
        <w:t>).</w:t>
      </w:r>
    </w:p>
    <w:p w14:paraId="2BD6F910" w14:textId="77777777" w:rsidR="00896408" w:rsidRDefault="00896408" w:rsidP="002E5F2B">
      <w:pPr>
        <w:pStyle w:val="Paragraphe-CGPC"/>
        <w:rPr>
          <w:rStyle w:val="lev"/>
        </w:rPr>
      </w:pPr>
    </w:p>
    <w:p w14:paraId="27A6F737" w14:textId="6B4E09B3" w:rsidR="00896408" w:rsidRPr="00C475B8" w:rsidRDefault="00896408" w:rsidP="002E5F2B">
      <w:pPr>
        <w:pStyle w:val="Paragraphe-CGPC"/>
      </w:pPr>
      <w:r w:rsidRPr="00C475B8">
        <w:rPr>
          <w:rStyle w:val="lev"/>
        </w:rPr>
        <w:t>Déclaration tacite des revenus</w:t>
      </w:r>
    </w:p>
    <w:p w14:paraId="4B66B1A0" w14:textId="77777777" w:rsidR="00896408" w:rsidRPr="00C475B8" w:rsidRDefault="00896408" w:rsidP="002E5F2B">
      <w:pPr>
        <w:pStyle w:val="Paragraphe-CGPC"/>
      </w:pPr>
      <w:r w:rsidRPr="00C475B8">
        <w:t xml:space="preserve">L’article 155 de la loi de finances pour 2020 a institué au profit des contribuables pour lesquels l’administration dispose des informations nécessaires à l’établissement de leur impôt sur le revenu la possibilité de remplir leurs obligations déclaratives par validation tacite de ces </w:t>
      </w:r>
      <w:r w:rsidRPr="00C475B8">
        <w:lastRenderedPageBreak/>
        <w:t>informations. Toutefois, les foyers éligibles à cette mesure peuvent remplir cette obligation de manière tacite, l’absence de souscription d’une déclaration valant confirmation de l’exactitude des informations dont dispose l’administration, en application d’un nouvel article 171 du CGI.</w:t>
      </w:r>
    </w:p>
    <w:p w14:paraId="3DB92D41" w14:textId="11D54F53" w:rsidR="00896408" w:rsidRPr="00C475B8" w:rsidRDefault="00896408" w:rsidP="002E5F2B">
      <w:pPr>
        <w:pStyle w:val="Paragraphe-CGPC"/>
      </w:pPr>
      <w:r w:rsidRPr="00C475B8">
        <w:rPr>
          <w:rStyle w:val="lev"/>
        </w:rPr>
        <w:t>Foyers éligibles</w:t>
      </w:r>
    </w:p>
    <w:p w14:paraId="1B6A0CEF" w14:textId="082463B8" w:rsidR="00A3141D" w:rsidRDefault="00896408" w:rsidP="002E5F2B">
      <w:pPr>
        <w:pStyle w:val="Paragraphe-CGPC"/>
      </w:pPr>
      <w:r w:rsidRPr="009201C0">
        <w:t>Cette mesure concerne les contribuables dont les revenus sont entièrement déclarés par des tiers (employeurs, caisses de retraite, banques, etc.) et dont la déclaration préremplie peut être considérée comme exhaustive et correct</w:t>
      </w:r>
      <w:r w:rsidR="00E87A68">
        <w:t>e</w:t>
      </w:r>
      <w:r w:rsidRPr="009201C0">
        <w:t>.</w:t>
      </w:r>
    </w:p>
    <w:p w14:paraId="77124795" w14:textId="77777777" w:rsidR="00A3141D" w:rsidRDefault="00A3141D" w:rsidP="002E5F2B">
      <w:pPr>
        <w:pStyle w:val="Paragraphe-CGPC"/>
      </w:pPr>
      <w:r>
        <w:br w:type="page"/>
      </w:r>
    </w:p>
    <w:p w14:paraId="6C8679DC" w14:textId="62BBC777" w:rsidR="005D44DA" w:rsidRDefault="004D489F" w:rsidP="002E5F2B">
      <w:pPr>
        <w:pStyle w:val="Paragraphe-CGPC"/>
      </w:pPr>
      <w:r>
        <w:rPr>
          <w:noProof/>
        </w:rPr>
        <w:lastRenderedPageBreak/>
        <mc:AlternateContent>
          <mc:Choice Requires="wps">
            <w:drawing>
              <wp:anchor distT="0" distB="0" distL="114300" distR="114300" simplePos="0" relativeHeight="251664384" behindDoc="1" locked="0" layoutInCell="1" allowOverlap="1" wp14:anchorId="58E00BC0" wp14:editId="5188B4C9">
                <wp:simplePos x="0" y="0"/>
                <wp:positionH relativeFrom="column">
                  <wp:posOffset>-914400</wp:posOffset>
                </wp:positionH>
                <wp:positionV relativeFrom="paragraph">
                  <wp:posOffset>-143510</wp:posOffset>
                </wp:positionV>
                <wp:extent cx="15430500" cy="8877300"/>
                <wp:effectExtent l="0" t="0" r="19050" b="19050"/>
                <wp:wrapNone/>
                <wp:docPr id="727890912" name="Rectangle 14"/>
                <wp:cNvGraphicFramePr/>
                <a:graphic xmlns:a="http://schemas.openxmlformats.org/drawingml/2006/main">
                  <a:graphicData uri="http://schemas.microsoft.com/office/word/2010/wordprocessingShape">
                    <wps:wsp>
                      <wps:cNvSpPr/>
                      <wps:spPr>
                        <a:xfrm>
                          <a:off x="0" y="0"/>
                          <a:ext cx="15430500" cy="8877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2BD05" id="Rectangle 14" o:spid="_x0000_s1026" style="position:absolute;margin-left:-1in;margin-top:-11.3pt;width:1215pt;height:69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" fillcolor="#4472c4 [3204]" strokecolor="#09101d [484]" strokeweight="1pt"/>
            </w:pict>
          </mc:Fallback>
        </mc:AlternateContent>
      </w:r>
    </w:p>
    <w:p w14:paraId="113C9946" w14:textId="32969B87" w:rsidR="005D44DA" w:rsidRDefault="005D44DA" w:rsidP="002E5F2B">
      <w:pPr>
        <w:pStyle w:val="Paragraphe-CGPC"/>
      </w:pPr>
    </w:p>
    <w:p w14:paraId="52EB886E" w14:textId="0D570673" w:rsidR="005D44DA" w:rsidRDefault="005D44DA" w:rsidP="002E5F2B">
      <w:pPr>
        <w:pStyle w:val="Paragraphe-CGPC"/>
      </w:pPr>
    </w:p>
    <w:p w14:paraId="497048FC" w14:textId="56501C90" w:rsidR="005D44DA" w:rsidRDefault="005D44DA" w:rsidP="002E5F2B">
      <w:pPr>
        <w:pStyle w:val="Paragraphe-CGPC"/>
      </w:pPr>
    </w:p>
    <w:p w14:paraId="45EF3AB5" w14:textId="5BBEA1D4" w:rsidR="005D44DA" w:rsidRDefault="005D44DA" w:rsidP="002E5F2B">
      <w:pPr>
        <w:pStyle w:val="Paragraphe-CGPC"/>
      </w:pPr>
    </w:p>
    <w:p w14:paraId="329C2B08" w14:textId="174D8156" w:rsidR="005D44DA" w:rsidRDefault="005D44DA" w:rsidP="002E5F2B">
      <w:pPr>
        <w:pStyle w:val="Paragraphe-CGPC"/>
      </w:pPr>
    </w:p>
    <w:p w14:paraId="21C1D790" w14:textId="7CD2123D" w:rsidR="005D44DA" w:rsidRDefault="005D44DA" w:rsidP="002E5F2B">
      <w:pPr>
        <w:pStyle w:val="Paragraphe-CGPC"/>
      </w:pPr>
    </w:p>
    <w:p w14:paraId="1457A293" w14:textId="527E621B" w:rsidR="005D44DA" w:rsidRDefault="005D44DA" w:rsidP="002E5F2B">
      <w:pPr>
        <w:pStyle w:val="Paragraphe-CGPC"/>
      </w:pPr>
    </w:p>
    <w:p w14:paraId="27911042" w14:textId="129126F3" w:rsidR="005D44DA" w:rsidRDefault="005D44DA" w:rsidP="002E5F2B">
      <w:pPr>
        <w:pStyle w:val="Paragraphe-CGPC"/>
      </w:pPr>
    </w:p>
    <w:p w14:paraId="032974F2" w14:textId="6544E580" w:rsidR="005D44DA" w:rsidRPr="00C422F4" w:rsidRDefault="005D44DA" w:rsidP="00C422F4">
      <w:pPr>
        <w:pStyle w:val="Titre1"/>
      </w:pPr>
      <w:bookmarkStart w:id="27" w:name="_Toc207183019"/>
      <w:bookmarkStart w:id="28" w:name="_Toc233204935"/>
      <w:r w:rsidRPr="00C422F4">
        <w:t>La territorialité de l’impôt</w:t>
      </w:r>
      <w:bookmarkEnd w:id="27"/>
      <w:bookmarkEnd w:id="28"/>
    </w:p>
    <w:p w14:paraId="62F7C5FC" w14:textId="3B40E2DB" w:rsidR="005D44DA" w:rsidRDefault="00B652D7" w:rsidP="002E5F2B">
      <w:pPr>
        <w:pStyle w:val="Paragraphe-CGPC"/>
      </w:pPr>
      <w:r w:rsidRPr="009201C0">
        <w:br w:type="page"/>
      </w:r>
      <w:bookmarkStart w:id="29" w:name="_Toc202191569"/>
    </w:p>
    <w:bookmarkEnd w:id="29"/>
    <w:p w14:paraId="27DA841D" w14:textId="77777777" w:rsidR="00EF0DE2" w:rsidRPr="00EF0DE2" w:rsidRDefault="00CB575E" w:rsidP="002E5F2B">
      <w:pPr>
        <w:pStyle w:val="Paragraphe-CGPC"/>
      </w:pPr>
      <w:r w:rsidRPr="00EF0DE2">
        <w:lastRenderedPageBreak/>
        <w:t>Le principe de la territorialité de l’impôt sur le revenu : la qualité de résident et de non-résident dépend du </w:t>
      </w:r>
      <w:r w:rsidRPr="00EF0DE2">
        <w:rPr>
          <w:rStyle w:val="lev"/>
          <w:b w:val="0"/>
          <w:bCs/>
        </w:rPr>
        <w:t>domicile fiscal </w:t>
      </w:r>
      <w:r w:rsidRPr="00EF0DE2">
        <w:t xml:space="preserve">en France ou à l’étranger de la personne considérée, quelle que soit sa nationalité (française ou étrangère). </w:t>
      </w:r>
    </w:p>
    <w:p w14:paraId="35DD7B41" w14:textId="3D09464B" w:rsidR="00CB575E" w:rsidRPr="00EF0DE2" w:rsidRDefault="00CB575E" w:rsidP="002E5F2B">
      <w:pPr>
        <w:pStyle w:val="Paragraphe-CGPC"/>
        <w:rPr>
          <w:b/>
        </w:rPr>
      </w:pPr>
      <w:r w:rsidRPr="00EF0DE2">
        <w:rPr>
          <w:b/>
        </w:rPr>
        <w:t>Cette distinction permet d’</w:t>
      </w:r>
      <w:r w:rsidRPr="00EF0DE2">
        <w:rPr>
          <w:rStyle w:val="lev"/>
          <w:b w:val="0"/>
          <w:bCs/>
        </w:rPr>
        <w:t>apprécier sa situation au regard de l’impôt sur le revenu</w:t>
      </w:r>
    </w:p>
    <w:p w14:paraId="7DB81796" w14:textId="77777777" w:rsidR="002C4790" w:rsidRDefault="00CB575E" w:rsidP="002E5F2B">
      <w:pPr>
        <w:pStyle w:val="Paragraphe-CGPC"/>
      </w:pPr>
      <w:r w:rsidRPr="009201C0">
        <w:t xml:space="preserve">Les limites des règles de la territorialité de l’impôt sur le revenu : les conventions fiscales internationales prévalent sur ces règles. </w:t>
      </w:r>
    </w:p>
    <w:p w14:paraId="0CCE3513" w14:textId="123E5E66" w:rsidR="00CB575E" w:rsidRPr="009201C0" w:rsidRDefault="00CB575E" w:rsidP="002E5F2B">
      <w:pPr>
        <w:pStyle w:val="Paragraphe-CGPC"/>
      </w:pPr>
      <w:r w:rsidRPr="009201C0">
        <w:t>En cas de double imposition : ces conventions peuvent notamment retirer à la France le droit d’imposer des revenus de source française, ou attribuer expressément à la France le droit d’imposer, ou encore conférer la qualité de non-résident à des personnes qui seraient, en droit interne, considérées comme résidentes.</w:t>
      </w:r>
    </w:p>
    <w:p w14:paraId="5DD6BFD1" w14:textId="77777777" w:rsidR="00CB575E" w:rsidRPr="002B7129" w:rsidRDefault="00CB575E" w:rsidP="002E5F2B">
      <w:pPr>
        <w:pStyle w:val="Paragraphe-CGPC"/>
      </w:pPr>
      <w:r w:rsidRPr="002B7129">
        <w:t>La notion de foyer fiscalement imposable est prévue aux articles 4A et 4B du CGI</w:t>
      </w:r>
    </w:p>
    <w:p w14:paraId="12898B52" w14:textId="77777777" w:rsidR="00CB575E" w:rsidRPr="002B7129" w:rsidRDefault="00CB575E" w:rsidP="002E5F2B">
      <w:pPr>
        <w:pStyle w:val="Paragraphe-CGPC"/>
      </w:pPr>
      <w:r w:rsidRPr="002B7129">
        <w:rPr>
          <w:rStyle w:val="lev"/>
          <w:b w:val="0"/>
          <w:bCs/>
        </w:rPr>
        <w:t>Article 4A CGI </w:t>
      </w:r>
      <w:r w:rsidRPr="002B7129">
        <w:t>« </w:t>
      </w:r>
      <w:r w:rsidRPr="002B7129">
        <w:rPr>
          <w:rStyle w:val="Accentuation"/>
          <w:i w:val="0"/>
          <w:iCs w:val="0"/>
        </w:rPr>
        <w:t>Les personnes qui ont en France leur domicile fiscal sont passibles de l’impôt sur le revenu en raison de l’ensemble de leurs revenus.</w:t>
      </w:r>
      <w:r w:rsidRPr="002B7129">
        <w:br/>
      </w:r>
      <w:r w:rsidRPr="002B7129">
        <w:rPr>
          <w:rStyle w:val="Accentuation"/>
          <w:i w:val="0"/>
          <w:iCs w:val="0"/>
        </w:rPr>
        <w:t>Celles dont le domicile fiscal est situé hors de France sont passibles de cet impôt en raison de leurs seuls revenus de source française.</w:t>
      </w:r>
      <w:r w:rsidRPr="002B7129">
        <w:t> »</w:t>
      </w:r>
    </w:p>
    <w:p w14:paraId="41B28CD3" w14:textId="77777777" w:rsidR="00CB575E" w:rsidRPr="002B7129" w:rsidRDefault="00CB575E" w:rsidP="002E5F2B">
      <w:pPr>
        <w:pStyle w:val="Paragraphe-CGPC"/>
      </w:pPr>
      <w:r w:rsidRPr="002B7129">
        <w:rPr>
          <w:rStyle w:val="lev"/>
          <w:b w:val="0"/>
          <w:bCs/>
        </w:rPr>
        <w:t>Article 4B </w:t>
      </w:r>
      <w:r w:rsidRPr="002B7129">
        <w:t>« </w:t>
      </w:r>
      <w:r w:rsidRPr="002B7129">
        <w:rPr>
          <w:rStyle w:val="Accentuation"/>
          <w:i w:val="0"/>
          <w:iCs w:val="0"/>
        </w:rPr>
        <w:t>1. Sont considérées comme ayant leur domicile fiscal en France au sens de l’article 4 A :</w:t>
      </w:r>
    </w:p>
    <w:p w14:paraId="79D151CA" w14:textId="77777777" w:rsidR="00CB575E" w:rsidRPr="002B7129" w:rsidRDefault="00CB575E" w:rsidP="002E5F2B">
      <w:pPr>
        <w:pStyle w:val="Paragraphe-CGPC"/>
      </w:pPr>
      <w:r w:rsidRPr="002B7129">
        <w:rPr>
          <w:rStyle w:val="Accentuation"/>
          <w:i w:val="0"/>
          <w:iCs w:val="0"/>
        </w:rPr>
        <w:t>Les personnes qui ont en France leur foyer ou le lieu de leur séjour principal ;</w:t>
      </w:r>
    </w:p>
    <w:p w14:paraId="6E3BBC19" w14:textId="77777777" w:rsidR="00CB575E" w:rsidRPr="002B7129" w:rsidRDefault="00CB575E" w:rsidP="002E5F2B">
      <w:pPr>
        <w:pStyle w:val="Paragraphe-CGPC"/>
      </w:pPr>
      <w:r w:rsidRPr="002B7129">
        <w:rPr>
          <w:rStyle w:val="Accentuation"/>
          <w:i w:val="0"/>
          <w:iCs w:val="0"/>
        </w:rPr>
        <w:t>Celles qui exercent en France une activité professionnelle, salariée ou non, à moins qu’elles ne justifient que cette activité y est exercée à titre accessoire ;</w:t>
      </w:r>
    </w:p>
    <w:p w14:paraId="04AC05E5" w14:textId="77777777" w:rsidR="00CB575E" w:rsidRPr="002B7129" w:rsidRDefault="00CB575E" w:rsidP="002E5F2B">
      <w:pPr>
        <w:pStyle w:val="Paragraphe-CGPC"/>
      </w:pPr>
      <w:r w:rsidRPr="002B7129">
        <w:rPr>
          <w:rStyle w:val="Accentuation"/>
          <w:i w:val="0"/>
          <w:iCs w:val="0"/>
        </w:rPr>
        <w:t>Celles qui ont en France le centre de leurs intérêts économiques ; </w:t>
      </w:r>
    </w:p>
    <w:p w14:paraId="566ACA94" w14:textId="77777777" w:rsidR="00CB575E" w:rsidRPr="002B7129" w:rsidRDefault="00CB575E" w:rsidP="002E5F2B">
      <w:pPr>
        <w:pStyle w:val="Paragraphe-CGPC"/>
      </w:pPr>
      <w:r w:rsidRPr="002B7129">
        <w:rPr>
          <w:rStyle w:val="Accentuation"/>
          <w:i w:val="0"/>
          <w:iCs w:val="0"/>
        </w:rPr>
        <w:t>Sont également considérés comme ayant leur domicile fiscal en France les agents de l’</w:t>
      </w:r>
      <w:proofErr w:type="spellStart"/>
      <w:r w:rsidRPr="002B7129">
        <w:rPr>
          <w:rStyle w:val="Accentuation"/>
          <w:i w:val="0"/>
          <w:iCs w:val="0"/>
        </w:rPr>
        <w:t>Etat</w:t>
      </w:r>
      <w:proofErr w:type="spellEnd"/>
      <w:r w:rsidRPr="002B7129">
        <w:rPr>
          <w:rStyle w:val="Accentuation"/>
          <w:i w:val="0"/>
          <w:iCs w:val="0"/>
        </w:rPr>
        <w:t xml:space="preserve"> qui exercent leurs fonctions ou sont chargés de mission dans un pays étranger et qui ne sont pas soumis dans ce pays à un impôt personnel sur l’ensemble de leurs revenus.</w:t>
      </w:r>
      <w:r w:rsidRPr="002B7129">
        <w:t>»</w:t>
      </w:r>
    </w:p>
    <w:p w14:paraId="59EA65EF" w14:textId="77777777" w:rsidR="00CB575E" w:rsidRPr="002B7129" w:rsidRDefault="00CB575E" w:rsidP="002E5F2B">
      <w:pPr>
        <w:pStyle w:val="Paragraphe-CGPC"/>
      </w:pPr>
      <w:r w:rsidRPr="002B7129">
        <w:t>Ces règles sous-entendent que tous les revenus perçus au sein d’un foyer fiscal français doivent être déclarés auprès de l’administration fiscale, que ces revenus soient de source française ou étrangère.</w:t>
      </w:r>
    </w:p>
    <w:p w14:paraId="10555752" w14:textId="77777777" w:rsidR="00CB575E" w:rsidRPr="0069483A" w:rsidRDefault="00CB575E" w:rsidP="002E5F2B">
      <w:pPr>
        <w:pStyle w:val="Paragraphe-CGPC"/>
      </w:pPr>
      <w:r w:rsidRPr="002B7129">
        <w:t>Une personne est donc considérée comme ayant son domicile fiscal en France, </w:t>
      </w:r>
      <w:r w:rsidRPr="002B7129">
        <w:rPr>
          <w:rStyle w:val="lev"/>
          <w:b w:val="0"/>
          <w:bCs/>
        </w:rPr>
        <w:t>quelle que soit sa nationalité</w:t>
      </w:r>
      <w:r w:rsidRPr="002B7129">
        <w:t>, lorsqu’elle remplit l’</w:t>
      </w:r>
      <w:r w:rsidRPr="002B7129">
        <w:rPr>
          <w:rStyle w:val="lev"/>
          <w:b w:val="0"/>
          <w:bCs/>
        </w:rPr>
        <w:t xml:space="preserve">une des 3 conditions </w:t>
      </w:r>
      <w:r w:rsidRPr="00BF2476">
        <w:t>suivantes </w:t>
      </w:r>
      <w:r w:rsidRPr="0069483A">
        <w:t>:</w:t>
      </w:r>
    </w:p>
    <w:p w14:paraId="3503A1EE" w14:textId="77777777" w:rsidR="00CB575E" w:rsidRPr="009201C0" w:rsidRDefault="00CB575E" w:rsidP="002E5F2B">
      <w:pPr>
        <w:pStyle w:val="Paragraphe-CGPC"/>
      </w:pPr>
      <w:r w:rsidRPr="002C4790">
        <w:rPr>
          <w:rStyle w:val="lev"/>
          <w:b w:val="0"/>
          <w:bCs/>
        </w:rPr>
        <w:t>Son foyer ou le lieu de son séjour principal est en France</w:t>
      </w:r>
      <w:r w:rsidRPr="009201C0">
        <w:rPr>
          <w:rStyle w:val="lev"/>
          <w:sz w:val="21"/>
          <w:szCs w:val="21"/>
        </w:rPr>
        <w:t> </w:t>
      </w:r>
      <w:r w:rsidRPr="009201C0">
        <w:t>:</w:t>
      </w:r>
    </w:p>
    <w:p w14:paraId="676809B1" w14:textId="77777777" w:rsidR="00CB575E" w:rsidRPr="002C4790" w:rsidRDefault="00CB575E" w:rsidP="002E5F2B">
      <w:pPr>
        <w:pStyle w:val="Paragraphe-CGPC"/>
      </w:pPr>
      <w:r w:rsidRPr="002C4790">
        <w:t>le foyer est le lieu où la personne ou sa famille habite normalement,</w:t>
      </w:r>
    </w:p>
    <w:p w14:paraId="1D48AA2A" w14:textId="77777777" w:rsidR="00CB575E" w:rsidRPr="002C4790" w:rsidRDefault="00CB575E" w:rsidP="002E5F2B">
      <w:pPr>
        <w:pStyle w:val="Paragraphe-CGPC"/>
      </w:pPr>
      <w:r w:rsidRPr="002C4790">
        <w:lastRenderedPageBreak/>
        <w:t>le lieu de séjour principal est le lieu où la personne séjourne le plus longtemps au cours d’une année donnée.</w:t>
      </w:r>
    </w:p>
    <w:p w14:paraId="07B4BF17" w14:textId="77777777" w:rsidR="00CB575E" w:rsidRPr="002C4790" w:rsidRDefault="00CB575E" w:rsidP="002E5F2B">
      <w:pPr>
        <w:pStyle w:val="Paragraphe-CGPC"/>
      </w:pPr>
      <w:r w:rsidRPr="002C4790">
        <w:t>Si la famille d’une personne habite en France, celle-ci peut donc être considérée comme résidente même si elle-même habite et travaille à l’étranger ;</w:t>
      </w:r>
    </w:p>
    <w:p w14:paraId="3C1380D0" w14:textId="77777777" w:rsidR="00CB575E" w:rsidRPr="002C4790" w:rsidRDefault="00CB575E" w:rsidP="002E5F2B">
      <w:pPr>
        <w:pStyle w:val="Paragraphe-CGPC"/>
        <w:rPr>
          <w:b/>
        </w:rPr>
      </w:pPr>
      <w:r w:rsidRPr="002C4790">
        <w:rPr>
          <w:rStyle w:val="lev"/>
          <w:b w:val="0"/>
          <w:bCs/>
        </w:rPr>
        <w:t>Son activité professionnelle est exercée à titre principal en France </w:t>
      </w:r>
      <w:r w:rsidRPr="002C4790">
        <w:rPr>
          <w:b/>
        </w:rPr>
        <w:t>:</w:t>
      </w:r>
    </w:p>
    <w:p w14:paraId="534192E3" w14:textId="77777777" w:rsidR="00CB575E" w:rsidRPr="002C4790" w:rsidRDefault="00CB575E" w:rsidP="002E5F2B">
      <w:pPr>
        <w:pStyle w:val="Paragraphe-CGPC"/>
      </w:pPr>
      <w:r w:rsidRPr="002C4790">
        <w:t>activité salariée : lieu d’exercice de la profession en France,</w:t>
      </w:r>
    </w:p>
    <w:p w14:paraId="15ACFAD0" w14:textId="6B7C187B" w:rsidR="00CB575E" w:rsidRPr="002C4790" w:rsidRDefault="00CB575E" w:rsidP="002E5F2B">
      <w:pPr>
        <w:pStyle w:val="Paragraphe-CGPC"/>
      </w:pPr>
      <w:r w:rsidRPr="002C4790">
        <w:t xml:space="preserve">activité </w:t>
      </w:r>
      <w:r w:rsidR="003928F5" w:rsidRPr="002C4790">
        <w:t>non salariée</w:t>
      </w:r>
      <w:r w:rsidRPr="002C4790">
        <w:t xml:space="preserve"> : exploitation et point d’activité stable en France, ainsi que la naissance de la majeure partie des profits s’y rattachant ;</w:t>
      </w:r>
    </w:p>
    <w:p w14:paraId="746D4BC7" w14:textId="77777777" w:rsidR="002C4790" w:rsidRDefault="00CB575E" w:rsidP="002E5F2B">
      <w:pPr>
        <w:pStyle w:val="Paragraphe-CGPC"/>
      </w:pPr>
      <w:r w:rsidRPr="002C4790">
        <w:rPr>
          <w:rStyle w:val="lev"/>
          <w:b w:val="0"/>
          <w:bCs/>
        </w:rPr>
        <w:t>Le centre de ses intérêts économiques est en France</w:t>
      </w:r>
      <w:r w:rsidRPr="009201C0">
        <w:rPr>
          <w:rStyle w:val="lev"/>
          <w:sz w:val="21"/>
          <w:szCs w:val="21"/>
        </w:rPr>
        <w:t> </w:t>
      </w:r>
      <w:r w:rsidRPr="009201C0">
        <w:t xml:space="preserve">: </w:t>
      </w:r>
    </w:p>
    <w:p w14:paraId="281ECA11" w14:textId="6EDECD0D" w:rsidR="00CB575E" w:rsidRPr="009201C0" w:rsidRDefault="00CB575E" w:rsidP="002E5F2B">
      <w:pPr>
        <w:pStyle w:val="Paragraphe-CGPC"/>
      </w:pPr>
      <w:r w:rsidRPr="002C4790">
        <w:t>le lieu des principaux investissements et le siège de ses affaires se situent en France</w:t>
      </w:r>
      <w:r w:rsidRPr="009201C0">
        <w:t>.</w:t>
      </w:r>
    </w:p>
    <w:p w14:paraId="403AB31C" w14:textId="77777777" w:rsidR="00CB575E" w:rsidRPr="00E83909" w:rsidRDefault="00CB575E" w:rsidP="002E5F2B">
      <w:pPr>
        <w:pStyle w:val="Paragraphe-CGPC"/>
      </w:pPr>
      <w:r w:rsidRPr="00E83909">
        <w:t>Les résidents sont </w:t>
      </w:r>
      <w:r w:rsidRPr="00E83909">
        <w:rPr>
          <w:rStyle w:val="lev"/>
        </w:rPr>
        <w:t>imposés en France sur la totalité de leurs revenus</w:t>
      </w:r>
      <w:r w:rsidRPr="00E83909">
        <w:t>, que ceux-ci aient leur source en France ou hors de France.</w:t>
      </w:r>
    </w:p>
    <w:p w14:paraId="26F61735" w14:textId="77777777" w:rsidR="00CB575E" w:rsidRPr="009201C0" w:rsidRDefault="00CB575E" w:rsidP="002E5F2B">
      <w:pPr>
        <w:pStyle w:val="Paragraphe-CGPC"/>
      </w:pPr>
      <w:r w:rsidRPr="00E83909">
        <w:t>Une évolution du texte concerne les dirigeants de grandes entreprises internationales puisque le critère de l’activité professionnelle principale sera réputé rempli le siège de l’entreprise est situé en France et le chiffre d’affaires réalisé en France est supérieur à 250 millions d’euros</w:t>
      </w:r>
      <w:r w:rsidRPr="009201C0">
        <w:t>.</w:t>
      </w:r>
    </w:p>
    <w:p w14:paraId="49E52485" w14:textId="49043BE6" w:rsidR="00CB575E" w:rsidRPr="003928F5" w:rsidRDefault="00CB575E" w:rsidP="002E5F2B">
      <w:pPr>
        <w:pStyle w:val="Paragraphe-CGPC"/>
      </w:pPr>
      <w:r w:rsidRPr="003928F5">
        <w:rPr>
          <w:rStyle w:val="Accentuation"/>
          <w:b/>
          <w:bCs w:val="0"/>
          <w:i w:val="0"/>
          <w:iCs w:val="0"/>
          <w:u w:val="single"/>
        </w:rPr>
        <w:t>Attention :</w:t>
      </w:r>
      <w:r w:rsidRPr="003928F5">
        <w:t> </w:t>
      </w:r>
      <w:r w:rsidRPr="003928F5">
        <w:rPr>
          <w:rStyle w:val="Accentuation"/>
          <w:i w:val="0"/>
          <w:iCs w:val="0"/>
        </w:rPr>
        <w:t>cette règle ne s’applique pas nécessairement aux prélèvements sociaux. En avril et juillet 2015, le Conseil d’État, s’alignant sur une décision de la CJUE, a jugé que les résidents non affiliés à la sécurité sociale en France ne pouvaient être soumis aux prélèvements sociaux sur leurs revenus du patrimoine de source étrangère, ces prélèvements finançant les régimes obligatoires français de sécurité sociale.</w:t>
      </w:r>
    </w:p>
    <w:p w14:paraId="76B6DB1A" w14:textId="427ACC4F" w:rsidR="00CB575E" w:rsidRPr="003928F5" w:rsidRDefault="00CB575E" w:rsidP="002E5F2B">
      <w:pPr>
        <w:pStyle w:val="Paragraphe-CGPC"/>
      </w:pPr>
      <w:r w:rsidRPr="003928F5">
        <w:rPr>
          <w:rStyle w:val="Accentuation"/>
          <w:b/>
          <w:bCs w:val="0"/>
          <w:i w:val="0"/>
          <w:iCs w:val="0"/>
          <w:u w:val="single"/>
        </w:rPr>
        <w:t>Cas particulier :</w:t>
      </w:r>
      <w:r w:rsidRPr="003928F5">
        <w:rPr>
          <w:rStyle w:val="lev"/>
          <w:b w:val="0"/>
          <w:bCs/>
        </w:rPr>
        <w:t> </w:t>
      </w:r>
      <w:r w:rsidRPr="003928F5">
        <w:rPr>
          <w:rStyle w:val="Accentuation"/>
          <w:i w:val="0"/>
          <w:iCs w:val="0"/>
        </w:rPr>
        <w:t>les fonctionnaires et agents de l’État en service à l’Étranger, qui ne supportent pas, dans le pays où ils exercent leurs fonctions, un impôt personnel sur l’ensemble de leurs revenus, sont imposables en France dans tous les cas, même si leur résidence principale n’est pas dans notre pays.</w:t>
      </w:r>
    </w:p>
    <w:p w14:paraId="0DEF25D0" w14:textId="4DE86478" w:rsidR="00CB575E" w:rsidRPr="003928F5" w:rsidRDefault="00CB575E" w:rsidP="002E5F2B">
      <w:pPr>
        <w:pStyle w:val="Paragraphe-CGPC"/>
      </w:pPr>
      <w:r w:rsidRPr="003928F5">
        <w:t>Les contribuables concernés peuvent, par le moyen d’un rescrit fiscal, avoir une position formelle des services fiscaux sur leur situation.</w:t>
      </w:r>
    </w:p>
    <w:p w14:paraId="1A665C31" w14:textId="77777777" w:rsidR="00CB575E" w:rsidRPr="009201C0" w:rsidRDefault="00CB575E" w:rsidP="002E5F2B">
      <w:pPr>
        <w:pStyle w:val="Paragraphe-CGPC"/>
      </w:pPr>
      <w:r w:rsidRPr="009201C0">
        <w:t>Les personnes qui ne remplissent pas les conditions susmentionnées sont considérées quelle que soit leur nationalité comme non domiciliées fiscalement en France et ont la qualité de non-résidents.</w:t>
      </w:r>
    </w:p>
    <w:p w14:paraId="63EB7D58" w14:textId="77777777" w:rsidR="00CB575E" w:rsidRPr="009201C0" w:rsidRDefault="00CB575E" w:rsidP="002E5F2B">
      <w:pPr>
        <w:pStyle w:val="Paragraphe-CGPC"/>
      </w:pPr>
      <w:r w:rsidRPr="009201C0">
        <w:t>Elles demeurent cependant imposables en France pour leurs seuls revenus de source française.</w:t>
      </w:r>
    </w:p>
    <w:p w14:paraId="7714D0B7" w14:textId="77777777" w:rsidR="00E83909" w:rsidRDefault="00CB575E" w:rsidP="002E5F2B">
      <w:pPr>
        <w:pStyle w:val="Paragraphe-CGPC"/>
      </w:pPr>
      <w:r w:rsidRPr="009201C0">
        <w:t xml:space="preserve">Sauf disposition contraire d’une convention internationale, sur certains revenus de source française dont la liste est fixée à l’article 164 B du CGI. </w:t>
      </w:r>
    </w:p>
    <w:p w14:paraId="4351B818" w14:textId="77777777" w:rsidR="00E83909" w:rsidRDefault="00CB575E" w:rsidP="002E5F2B">
      <w:pPr>
        <w:pStyle w:val="Paragraphe-CGPC"/>
      </w:pPr>
      <w:r w:rsidRPr="009201C0">
        <w:lastRenderedPageBreak/>
        <w:t>Sont notamment imposables :</w:t>
      </w:r>
      <w:r w:rsidR="00E83909">
        <w:t xml:space="preserve"> </w:t>
      </w:r>
    </w:p>
    <w:p w14:paraId="66051FC3" w14:textId="5CA4CF74" w:rsidR="00CB575E" w:rsidRPr="009201C0" w:rsidRDefault="00E83909" w:rsidP="002E5F2B">
      <w:pPr>
        <w:pStyle w:val="Paragraphe-CGPC"/>
        <w:numPr>
          <w:ilvl w:val="0"/>
          <w:numId w:val="24"/>
        </w:numPr>
      </w:pPr>
      <w:r>
        <w:t>l</w:t>
      </w:r>
      <w:r w:rsidR="00CB575E" w:rsidRPr="009201C0">
        <w:t>es revenus et plus-values de cessions d’immeubles sis en France ou de droits relatifs à ces immeubles (tels que droits indivis, usufruit, actions ou parts de sociétés immobilières)</w:t>
      </w:r>
    </w:p>
    <w:p w14:paraId="6DA06869" w14:textId="427A6036" w:rsidR="00CB575E" w:rsidRPr="009201C0" w:rsidRDefault="00CB575E" w:rsidP="002E5F2B">
      <w:pPr>
        <w:pStyle w:val="Paragraphe-CGPC"/>
        <w:numPr>
          <w:ilvl w:val="0"/>
          <w:numId w:val="24"/>
        </w:numPr>
      </w:pPr>
      <w:r w:rsidRPr="009201C0">
        <w:t>Les revenus de valeurs mobilières françaises à revenu variable (qu’elles soient déposées en France ou hors de France) et les revenus de tous autres capitaux mobiliers placés en France (parts sociales, jetons de présence, obligations, etc.) ;</w:t>
      </w:r>
    </w:p>
    <w:p w14:paraId="3DD2658D" w14:textId="3920E9D5" w:rsidR="00CB575E" w:rsidRPr="009201C0" w:rsidRDefault="00CB575E" w:rsidP="002E5F2B">
      <w:pPr>
        <w:pStyle w:val="Paragraphe-CGPC"/>
        <w:numPr>
          <w:ilvl w:val="0"/>
          <w:numId w:val="24"/>
        </w:numPr>
      </w:pPr>
      <w:r w:rsidRPr="009201C0">
        <w:t>Les plus-values de cessions de droits sociaux de sociétés françaises soumises à l’impôt sur les sociétés.</w:t>
      </w:r>
    </w:p>
    <w:p w14:paraId="4B8EB128" w14:textId="326AC751" w:rsidR="00CB575E" w:rsidRPr="003928F5" w:rsidRDefault="00CB575E" w:rsidP="002E5F2B">
      <w:pPr>
        <w:pStyle w:val="Paragraphe-CGPC"/>
      </w:pPr>
      <w:r w:rsidRPr="003928F5">
        <w:rPr>
          <w:rStyle w:val="lev"/>
          <w:i/>
          <w:iCs/>
          <w:szCs w:val="32"/>
        </w:rPr>
        <w:t>Précisions</w:t>
      </w:r>
      <w:r w:rsidRPr="003928F5">
        <w:t> </w:t>
      </w:r>
      <w:r w:rsidRPr="003928F5">
        <w:rPr>
          <w:rStyle w:val="Accentuation"/>
          <w:szCs w:val="32"/>
        </w:rPr>
        <w:t xml:space="preserve">Les personnes fiscalement domiciliées dans un autre </w:t>
      </w:r>
      <w:r w:rsidR="003928F5" w:rsidRPr="003928F5">
        <w:rPr>
          <w:rStyle w:val="Accentuation"/>
          <w:szCs w:val="32"/>
        </w:rPr>
        <w:t>État</w:t>
      </w:r>
      <w:r w:rsidRPr="003928F5">
        <w:rPr>
          <w:rStyle w:val="Accentuation"/>
          <w:szCs w:val="32"/>
        </w:rPr>
        <w:t xml:space="preserve"> de l’Union européenne, en Islande, en Norvège ou au Liechtenstein et qui tirent l’essentiel de leurs revenus de la France peuvent, sous certaines conditions, demander lors de la souscription de leur déclaration de revenus à être imposées selon les règles applicables aux personnes fiscalement domiciliées en France (non-résidents dits « Schumacker » : BOI-IR-DOMIC-40). Dans ce cas, les règles exposées ci-dessus ne leur sont pas applicables.</w:t>
      </w:r>
    </w:p>
    <w:p w14:paraId="1F71F911" w14:textId="77777777" w:rsidR="00896408" w:rsidRPr="003928F5" w:rsidRDefault="00430C05" w:rsidP="002E5F2B">
      <w:pPr>
        <w:pStyle w:val="Paragraphe-CGPC"/>
      </w:pPr>
      <w:r w:rsidRPr="003928F5">
        <w:t>Dans tous les cas il convient de se référer aux conventions fiscales internationales qui ont une force juridique supérieure à la loi française et qui déterminent la notion de résidence et règlent les cas de double imposition.</w:t>
      </w:r>
    </w:p>
    <w:p w14:paraId="5D0297CE" w14:textId="3CE3C95F" w:rsidR="00552B2B" w:rsidRPr="009201C0" w:rsidRDefault="00896408" w:rsidP="002E5F2B">
      <w:pPr>
        <w:pStyle w:val="Paragraphe-CGPC"/>
      </w:pPr>
      <w:r w:rsidRPr="003928F5">
        <w:rPr>
          <w:szCs w:val="32"/>
        </w:rPr>
        <w:t>L'article</w:t>
      </w:r>
      <w:r w:rsidRPr="00896408">
        <w:t xml:space="preserve"> 83 de la loi de finances pour 2025 inscrit dans la loi le principe selon lequel une personne non résidente en France par application d'une convention fiscale internationale n'est pas fiscalement domiciliée en France au sens des dispositions du droit interne.</w:t>
      </w:r>
      <w:r w:rsidR="00552B2B" w:rsidRPr="009201C0">
        <w:br w:type="page"/>
      </w:r>
    </w:p>
    <w:bookmarkStart w:id="30" w:name="_Toc202191570"/>
    <w:p w14:paraId="133E7E70" w14:textId="68004879" w:rsidR="00AC5580" w:rsidRDefault="00FC1996" w:rsidP="00AC5580">
      <w:r>
        <w:rPr>
          <w:noProof/>
          <w14:ligatures w14:val="standardContextual"/>
        </w:rPr>
        <w:lastRenderedPageBreak/>
        <mc:AlternateContent>
          <mc:Choice Requires="wps">
            <w:drawing>
              <wp:anchor distT="0" distB="0" distL="114300" distR="114300" simplePos="0" relativeHeight="251663360" behindDoc="1" locked="0" layoutInCell="1" allowOverlap="1" wp14:anchorId="6DE94463" wp14:editId="7D359A9F">
                <wp:simplePos x="0" y="0"/>
                <wp:positionH relativeFrom="column">
                  <wp:posOffset>-914400</wp:posOffset>
                </wp:positionH>
                <wp:positionV relativeFrom="paragraph">
                  <wp:posOffset>-162560</wp:posOffset>
                </wp:positionV>
                <wp:extent cx="15355614" cy="8892452"/>
                <wp:effectExtent l="0" t="0" r="17780" b="23495"/>
                <wp:wrapNone/>
                <wp:docPr id="1537186654" name="Rectangle 6"/>
                <wp:cNvGraphicFramePr/>
                <a:graphic xmlns:a="http://schemas.openxmlformats.org/drawingml/2006/main">
                  <a:graphicData uri="http://schemas.microsoft.com/office/word/2010/wordprocessingShape">
                    <wps:wsp>
                      <wps:cNvSpPr/>
                      <wps:spPr>
                        <a:xfrm>
                          <a:off x="0" y="0"/>
                          <a:ext cx="15355614" cy="8892452"/>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9F91DEC" id="Rectangle 6" o:spid="_x0000_s1026" style="position:absolute;margin-left:-1in;margin-top:-12.8pt;width:1209.1pt;height:700.2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" fillcolor="#4472c4 [3204]" strokecolor="#09101d [484]" strokeweight="1pt"/>
            </w:pict>
          </mc:Fallback>
        </mc:AlternateContent>
      </w:r>
    </w:p>
    <w:p w14:paraId="19D46E11" w14:textId="77777777" w:rsidR="00AC5580" w:rsidRDefault="00AC5580" w:rsidP="00AC5580"/>
    <w:p w14:paraId="6249567E" w14:textId="77777777" w:rsidR="00AC5580" w:rsidRDefault="00AC5580" w:rsidP="00AC5580"/>
    <w:p w14:paraId="2917A453" w14:textId="77777777" w:rsidR="00AC5580" w:rsidRDefault="00AC5580" w:rsidP="00AC5580"/>
    <w:p w14:paraId="45A3048D" w14:textId="77777777" w:rsidR="00AC5580" w:rsidRDefault="00AC5580" w:rsidP="00AC5580"/>
    <w:p w14:paraId="0616F96B" w14:textId="77777777" w:rsidR="00AC5580" w:rsidRDefault="00AC5580" w:rsidP="00AC5580"/>
    <w:p w14:paraId="3C3741AE" w14:textId="77777777" w:rsidR="00AC5580" w:rsidRDefault="00AC5580" w:rsidP="00AC5580"/>
    <w:p w14:paraId="4DF70677" w14:textId="77777777" w:rsidR="00AC5580" w:rsidRDefault="00AC5580" w:rsidP="00AC5580"/>
    <w:p w14:paraId="172E6392" w14:textId="77777777" w:rsidR="00AC5580" w:rsidRDefault="00AC5580" w:rsidP="00AC5580"/>
    <w:p w14:paraId="4E61E050" w14:textId="18BFF533" w:rsidR="00AC5580" w:rsidRPr="00AC5580" w:rsidRDefault="00CB575E" w:rsidP="00AC5580">
      <w:pPr>
        <w:pStyle w:val="Titre1"/>
      </w:pPr>
      <w:bookmarkStart w:id="31" w:name="_Toc207183020"/>
      <w:bookmarkStart w:id="32" w:name="_Toc233204936"/>
      <w:r w:rsidRPr="00AC5580">
        <w:t>Les revenus catégoriels</w:t>
      </w:r>
      <w:bookmarkEnd w:id="30"/>
      <w:bookmarkEnd w:id="31"/>
      <w:bookmarkEnd w:id="32"/>
      <w:r w:rsidRPr="00AC5580">
        <w:t> </w:t>
      </w:r>
    </w:p>
    <w:p w14:paraId="42724520" w14:textId="77777777" w:rsidR="00AC5580" w:rsidRDefault="00AC5580" w:rsidP="002E5F2B">
      <w:pPr>
        <w:pStyle w:val="Paragraphe-CGPC"/>
        <w:rPr>
          <w:rFonts w:eastAsiaTheme="majorEastAsia" w:cstheme="majorBidi"/>
          <w:color w:val="4472C4" w:themeColor="accent1"/>
          <w:sz w:val="56"/>
          <w:szCs w:val="32"/>
        </w:rPr>
      </w:pPr>
      <w:r>
        <w:br w:type="page"/>
      </w:r>
    </w:p>
    <w:p w14:paraId="1BE7297E" w14:textId="77777777" w:rsidR="00CB575E" w:rsidRPr="009201C0" w:rsidRDefault="00CB575E" w:rsidP="002E5F2B">
      <w:pPr>
        <w:pStyle w:val="Paragraphe-CGPC"/>
      </w:pPr>
      <w:r w:rsidRPr="009201C0">
        <w:lastRenderedPageBreak/>
        <w:t>Il existe 8 catégories de revenus (art.1CGI)</w:t>
      </w:r>
    </w:p>
    <w:p w14:paraId="0E2F84BE" w14:textId="77777777" w:rsidR="00CB575E" w:rsidRPr="009201C0" w:rsidRDefault="00CB575E" w:rsidP="002E5F2B">
      <w:pPr>
        <w:pStyle w:val="Paragraphe-CGPC"/>
      </w:pPr>
      <w:r w:rsidRPr="009201C0">
        <w:t>Revenus salariaux et assimilés</w:t>
      </w:r>
    </w:p>
    <w:p w14:paraId="500428D1" w14:textId="77777777" w:rsidR="00CB575E" w:rsidRPr="009201C0" w:rsidRDefault="00CB575E" w:rsidP="002E5F2B">
      <w:pPr>
        <w:pStyle w:val="Paragraphe-CGPC"/>
      </w:pPr>
      <w:r w:rsidRPr="009201C0">
        <w:t>Traitements, salaires, indemnités, émoluments, pensions et rentes viagères ;</w:t>
      </w:r>
    </w:p>
    <w:p w14:paraId="4A9EB1D1" w14:textId="77777777" w:rsidR="00CB575E" w:rsidRPr="009201C0" w:rsidRDefault="00CB575E" w:rsidP="002E5F2B">
      <w:pPr>
        <w:pStyle w:val="Paragraphe-CGPC"/>
      </w:pPr>
      <w:r w:rsidRPr="009201C0">
        <w:t>Revenus de capitaux mobiliers ;</w:t>
      </w:r>
    </w:p>
    <w:p w14:paraId="45187B3D" w14:textId="77777777" w:rsidR="00CB575E" w:rsidRPr="009201C0" w:rsidRDefault="00CB575E" w:rsidP="002E5F2B">
      <w:pPr>
        <w:pStyle w:val="Paragraphe-CGPC"/>
      </w:pPr>
      <w:r w:rsidRPr="009201C0">
        <w:t>Bénéfices industriels et commerciaux ;</w:t>
      </w:r>
    </w:p>
    <w:p w14:paraId="573CA49B" w14:textId="77777777" w:rsidR="00CB575E" w:rsidRPr="009201C0" w:rsidRDefault="00CB575E" w:rsidP="002E5F2B">
      <w:pPr>
        <w:pStyle w:val="Paragraphe-CGPC"/>
      </w:pPr>
      <w:r w:rsidRPr="009201C0">
        <w:t>Bénéfices des professions non commerciales et revenus y assimilés ;</w:t>
      </w:r>
    </w:p>
    <w:p w14:paraId="4C83B928" w14:textId="77777777" w:rsidR="00CB575E" w:rsidRPr="009201C0" w:rsidRDefault="00CB575E" w:rsidP="002E5F2B">
      <w:pPr>
        <w:pStyle w:val="Paragraphe-CGPC"/>
      </w:pPr>
      <w:r w:rsidRPr="009201C0">
        <w:t>Bénéfices de l’exploitation agricole ;</w:t>
      </w:r>
    </w:p>
    <w:p w14:paraId="74630E1E" w14:textId="77777777" w:rsidR="00CB575E" w:rsidRPr="009201C0" w:rsidRDefault="00CB575E" w:rsidP="002E5F2B">
      <w:pPr>
        <w:pStyle w:val="Paragraphe-CGPC"/>
      </w:pPr>
      <w:r w:rsidRPr="009201C0">
        <w:t>Revenus fonciers :</w:t>
      </w:r>
      <w:r w:rsidRPr="009201C0">
        <w:rPr>
          <w:rStyle w:val="lev"/>
          <w:sz w:val="21"/>
          <w:szCs w:val="21"/>
        </w:rPr>
        <w:t> (Voir leçon 1, chapitre 2)</w:t>
      </w:r>
    </w:p>
    <w:p w14:paraId="172185E5" w14:textId="77777777" w:rsidR="00CB575E" w:rsidRPr="009201C0" w:rsidRDefault="00CB575E" w:rsidP="002E5F2B">
      <w:pPr>
        <w:pStyle w:val="Paragraphe-CGPC"/>
      </w:pPr>
      <w:r w:rsidRPr="009201C0">
        <w:t>Plus-values de cession à titre onéreux de biens ou de droits de toute nature : </w:t>
      </w:r>
      <w:r w:rsidRPr="009201C0">
        <w:rPr>
          <w:rStyle w:val="lev"/>
          <w:sz w:val="21"/>
          <w:szCs w:val="21"/>
        </w:rPr>
        <w:t>(voir leçon 2, chapitre 2)</w:t>
      </w:r>
    </w:p>
    <w:p w14:paraId="7C1A525E" w14:textId="77777777" w:rsidR="00CB575E" w:rsidRPr="009201C0" w:rsidRDefault="00CB575E" w:rsidP="002E5F2B">
      <w:pPr>
        <w:pStyle w:val="Paragraphe-CGPC"/>
      </w:pPr>
      <w:r w:rsidRPr="009201C0">
        <w:t> </w:t>
      </w:r>
    </w:p>
    <w:p w14:paraId="18D6D87C" w14:textId="155711EC" w:rsidR="00CB575E" w:rsidRPr="009201C0" w:rsidRDefault="00CB575E" w:rsidP="002E5F2B">
      <w:pPr>
        <w:pStyle w:val="Titre2"/>
        <w:numPr>
          <w:ilvl w:val="0"/>
          <w:numId w:val="32"/>
        </w:numPr>
      </w:pPr>
      <w:bookmarkStart w:id="33" w:name="_Toc202191571"/>
      <w:bookmarkStart w:id="34" w:name="_Toc207183021"/>
      <w:bookmarkStart w:id="35" w:name="_Toc233204937"/>
      <w:r w:rsidRPr="009201C0">
        <w:t>Revenus salariaux et assimilés</w:t>
      </w:r>
      <w:bookmarkEnd w:id="33"/>
      <w:bookmarkEnd w:id="34"/>
      <w:bookmarkEnd w:id="35"/>
      <w:r w:rsidRPr="009201C0">
        <w:t> </w:t>
      </w:r>
    </w:p>
    <w:p w14:paraId="053BDC1A" w14:textId="42DFF0D5" w:rsidR="00CB575E" w:rsidRPr="009201C0" w:rsidRDefault="00CB575E" w:rsidP="002E5F2B">
      <w:pPr>
        <w:pStyle w:val="Titre3"/>
        <w:numPr>
          <w:ilvl w:val="0"/>
          <w:numId w:val="36"/>
        </w:numPr>
      </w:pPr>
      <w:bookmarkStart w:id="36" w:name="_Toc207183022"/>
      <w:bookmarkStart w:id="37" w:name="_Toc233204938"/>
      <w:r w:rsidRPr="009201C0">
        <w:t>Les revenus salariaux</w:t>
      </w:r>
      <w:bookmarkEnd w:id="36"/>
      <w:bookmarkEnd w:id="37"/>
      <w:r w:rsidRPr="009201C0">
        <w:t> </w:t>
      </w:r>
    </w:p>
    <w:p w14:paraId="647776C2" w14:textId="2E110CC5" w:rsidR="00CB575E" w:rsidRPr="00AC04E5" w:rsidRDefault="00CB575E" w:rsidP="002E5F2B">
      <w:pPr>
        <w:pStyle w:val="Paragraphe-CGPC"/>
      </w:pPr>
      <w:r w:rsidRPr="00AC04E5">
        <w:rPr>
          <w:rStyle w:val="lev"/>
          <w:u w:val="single"/>
        </w:rPr>
        <w:t xml:space="preserve">Rappel </w:t>
      </w:r>
      <w:r w:rsidRPr="00AC04E5">
        <w:rPr>
          <w:rStyle w:val="lev"/>
          <w:b w:val="0"/>
          <w:bCs/>
        </w:rPr>
        <w:t>:</w:t>
      </w:r>
      <w:r w:rsidRPr="00AC04E5">
        <w:t> </w:t>
      </w:r>
      <w:r w:rsidRPr="00AC04E5">
        <w:rPr>
          <w:rStyle w:val="Accentuation"/>
          <w:i w:val="0"/>
          <w:iCs w:val="0"/>
        </w:rPr>
        <w:t>sont considérés comme </w:t>
      </w:r>
      <w:r w:rsidRPr="00AC04E5">
        <w:rPr>
          <w:rStyle w:val="lev"/>
          <w:b w:val="0"/>
          <w:bCs/>
        </w:rPr>
        <w:t>salariés ceux qui se trouvent dans un état de subordination juridique</w:t>
      </w:r>
      <w:r w:rsidRPr="00AC04E5">
        <w:rPr>
          <w:rStyle w:val="Accentuation"/>
          <w:i w:val="0"/>
          <w:iCs w:val="0"/>
        </w:rPr>
        <w:t> vis-à-vis de leur employeur, qu’il s’agisse d’ouvriers, d’employés ou de cadres. Les rémunérations versées par les entreprises privées sont appelées « salaires ». Celles versées aux fonctionnaires sont appelées « traitements ».</w:t>
      </w:r>
    </w:p>
    <w:p w14:paraId="5613DBD9" w14:textId="77777777" w:rsidR="00CB575E" w:rsidRPr="00C43AED" w:rsidRDefault="00CB575E" w:rsidP="002E5F2B">
      <w:pPr>
        <w:pStyle w:val="Paragraphe-CGPC"/>
        <w:rPr>
          <w:szCs w:val="32"/>
        </w:rPr>
      </w:pPr>
      <w:r w:rsidRPr="00AC04E5">
        <w:t xml:space="preserve">Les traitements et salaires doivent figurer pour leur montant avant déduction forfaitaire de 10 % pour frais professionnels. Celle-ci est calculée et </w:t>
      </w:r>
      <w:r w:rsidRPr="00C43AED">
        <w:rPr>
          <w:szCs w:val="32"/>
        </w:rPr>
        <w:t>retranchée par l’administration fiscale.</w:t>
      </w:r>
    </w:p>
    <w:p w14:paraId="52E5F8D6" w14:textId="59E016CF" w:rsidR="00CB575E" w:rsidRPr="000E30ED" w:rsidRDefault="00CB575E" w:rsidP="002E5F2B">
      <w:pPr>
        <w:pStyle w:val="Paragraphe-CGPC"/>
      </w:pPr>
      <w:r w:rsidRPr="00C43AED">
        <w:t>Pour l’imposition des revenus de </w:t>
      </w:r>
      <w:r w:rsidRPr="00C43AED">
        <w:rPr>
          <w:rStyle w:val="lev"/>
          <w:szCs w:val="32"/>
        </w:rPr>
        <w:t>2</w:t>
      </w:r>
      <w:r w:rsidRPr="00BF2476">
        <w:rPr>
          <w:rStyle w:val="lev"/>
          <w:strike/>
          <w:color w:val="EE0000"/>
          <w:szCs w:val="32"/>
        </w:rPr>
        <w:t>02</w:t>
      </w:r>
      <w:r w:rsidR="00C475B8" w:rsidRPr="00BF2476">
        <w:rPr>
          <w:rStyle w:val="lev"/>
          <w:strike/>
          <w:color w:val="EE0000"/>
          <w:szCs w:val="32"/>
        </w:rPr>
        <w:t>4</w:t>
      </w:r>
      <w:r w:rsidRPr="00C43AED">
        <w:t>,</w:t>
      </w:r>
      <w:r w:rsidR="000E30ED">
        <w:t>2025</w:t>
      </w:r>
      <w:r w:rsidRPr="00C43AED">
        <w:t xml:space="preserve"> le montant </w:t>
      </w:r>
      <w:r w:rsidRPr="00C43AED">
        <w:rPr>
          <w:rStyle w:val="lev"/>
          <w:szCs w:val="32"/>
        </w:rPr>
        <w:t>maximum</w:t>
      </w:r>
      <w:r w:rsidRPr="00C43AED">
        <w:t> de la déduction forfaitaire de 10 % pour frais professionnels est de </w:t>
      </w:r>
      <w:r w:rsidRPr="00BF2476">
        <w:rPr>
          <w:rStyle w:val="lev"/>
          <w:strike/>
          <w:szCs w:val="32"/>
        </w:rPr>
        <w:t>1</w:t>
      </w:r>
      <w:r w:rsidR="00847070" w:rsidRPr="00BF2476">
        <w:rPr>
          <w:rStyle w:val="lev"/>
          <w:strike/>
          <w:szCs w:val="32"/>
        </w:rPr>
        <w:t>4</w:t>
      </w:r>
      <w:r w:rsidRPr="00BF2476">
        <w:rPr>
          <w:rStyle w:val="lev"/>
          <w:strike/>
          <w:szCs w:val="32"/>
        </w:rPr>
        <w:t xml:space="preserve"> </w:t>
      </w:r>
      <w:r w:rsidR="00C475B8" w:rsidRPr="00BF2476">
        <w:rPr>
          <w:rStyle w:val="lev"/>
          <w:strike/>
          <w:szCs w:val="32"/>
        </w:rPr>
        <w:t xml:space="preserve">426 </w:t>
      </w:r>
      <w:r w:rsidRPr="00BF2476">
        <w:rPr>
          <w:rStyle w:val="lev"/>
          <w:strike/>
          <w:szCs w:val="32"/>
        </w:rPr>
        <w:t>€</w:t>
      </w:r>
      <w:r w:rsidRPr="00BF2476">
        <w:rPr>
          <w:strike/>
        </w:rPr>
        <w:t> </w:t>
      </w:r>
      <w:r w:rsidR="000E30ED">
        <w:t xml:space="preserve"> 14 555 € </w:t>
      </w:r>
      <w:r w:rsidRPr="00C43AED">
        <w:t>et le montant </w:t>
      </w:r>
      <w:r w:rsidRPr="00C43AED">
        <w:rPr>
          <w:rStyle w:val="lev"/>
          <w:szCs w:val="32"/>
        </w:rPr>
        <w:t>minimum</w:t>
      </w:r>
      <w:r w:rsidRPr="00C43AED">
        <w:t> fixé à </w:t>
      </w:r>
      <w:r w:rsidR="00C475B8" w:rsidRPr="00BF2476">
        <w:rPr>
          <w:rStyle w:val="lev"/>
          <w:strike/>
          <w:szCs w:val="32"/>
        </w:rPr>
        <w:t>504</w:t>
      </w:r>
      <w:r w:rsidRPr="00BF2476">
        <w:rPr>
          <w:rStyle w:val="lev"/>
          <w:strike/>
          <w:szCs w:val="32"/>
        </w:rPr>
        <w:t xml:space="preserve"> €.</w:t>
      </w:r>
      <w:r w:rsidR="000E30ED">
        <w:rPr>
          <w:rStyle w:val="lev"/>
          <w:strike/>
          <w:szCs w:val="32"/>
        </w:rPr>
        <w:t xml:space="preserve"> </w:t>
      </w:r>
      <w:r w:rsidR="000E30ED" w:rsidRPr="00BF2476">
        <w:rPr>
          <w:rStyle w:val="lev"/>
          <w:szCs w:val="32"/>
        </w:rPr>
        <w:t>509 €</w:t>
      </w:r>
    </w:p>
    <w:p w14:paraId="5B87FDE3" w14:textId="77777777" w:rsidR="00CB575E" w:rsidRPr="009201C0" w:rsidRDefault="00CB575E" w:rsidP="002E5F2B">
      <w:pPr>
        <w:pStyle w:val="Paragraphe-CGPC"/>
      </w:pPr>
      <w:r w:rsidRPr="009201C0">
        <w:t>Le minimum et le plafond s’appliquent à chaque membre du foyer fiscal.</w:t>
      </w:r>
    </w:p>
    <w:p w14:paraId="0B23C6A2" w14:textId="77777777" w:rsidR="00CB575E" w:rsidRPr="009201C0" w:rsidRDefault="00CB575E" w:rsidP="002E5F2B">
      <w:pPr>
        <w:pStyle w:val="Paragraphe-CGPC"/>
      </w:pPr>
      <w:r w:rsidRPr="009201C0">
        <w:lastRenderedPageBreak/>
        <w:t>Le salarié peut opter pour la déduction des frais réels. Il lui appartiendra alors de prouver le caractère professionnel des déductions en cas de contrôle de l’administration fiscale.</w:t>
      </w:r>
    </w:p>
    <w:p w14:paraId="7687EE2B" w14:textId="5F23A813" w:rsidR="00CB575E" w:rsidRPr="00AC04E5" w:rsidRDefault="00CB575E" w:rsidP="002E5F2B">
      <w:pPr>
        <w:pStyle w:val="Paragraphe-CGPC"/>
      </w:pPr>
      <w:r w:rsidRPr="00AC04E5">
        <w:rPr>
          <w:rStyle w:val="Accentuation"/>
          <w:b/>
          <w:bCs w:val="0"/>
          <w:i w:val="0"/>
          <w:iCs w:val="0"/>
          <w:u w:val="single"/>
        </w:rPr>
        <w:t>Observations</w:t>
      </w:r>
      <w:r w:rsidRPr="00AC04E5">
        <w:rPr>
          <w:b/>
          <w:u w:val="single"/>
        </w:rPr>
        <w:t> :</w:t>
      </w:r>
      <w:r w:rsidRPr="00AC04E5">
        <w:t> </w:t>
      </w:r>
      <w:r w:rsidRPr="00AC04E5">
        <w:rPr>
          <w:rStyle w:val="Accentuation"/>
          <w:i w:val="0"/>
          <w:iCs w:val="0"/>
        </w:rPr>
        <w:t>Doivent être déclarés les salaires, primes, avantages en nature mais également les substituts de revenus comme les indemnités journalières perçues en cas de maladie, allocations de chômage, indemnités de non-concurrence etc.</w:t>
      </w:r>
    </w:p>
    <w:p w14:paraId="57C8E619" w14:textId="1108F427" w:rsidR="00CB575E" w:rsidRPr="00AC04E5" w:rsidRDefault="00CB575E" w:rsidP="002E5F2B">
      <w:pPr>
        <w:pStyle w:val="Paragraphe-CGPC"/>
      </w:pPr>
      <w:r w:rsidRPr="00AC04E5">
        <w:t xml:space="preserve">Bénéficient également du régime fiscal des salariés les </w:t>
      </w:r>
      <w:r w:rsidR="00BB3075" w:rsidRPr="00AC04E5">
        <w:t>VRP</w:t>
      </w:r>
      <w:r w:rsidRPr="00AC04E5">
        <w:t>, les travailleurs à domicile, les gérants majoritaires de SARL et les Présidents et Directeurs généraux de sociétés anonymes et de Sociétés par Actions Simplifiées.</w:t>
      </w:r>
    </w:p>
    <w:p w14:paraId="51303E4C" w14:textId="77777777" w:rsidR="00CB575E" w:rsidRPr="009201C0" w:rsidRDefault="00CB575E" w:rsidP="002E5F2B">
      <w:pPr>
        <w:pStyle w:val="Paragraphe-CGPC"/>
      </w:pPr>
      <w:r w:rsidRPr="009201C0">
        <w:t>Cas particuliers des rémunérations des agents et des droits d’auteurs et/ou compositeurs.</w:t>
      </w:r>
    </w:p>
    <w:p w14:paraId="42D2D50F" w14:textId="77777777" w:rsidR="00CB575E" w:rsidRPr="009201C0" w:rsidRDefault="00CB575E" w:rsidP="002E5F2B">
      <w:pPr>
        <w:pStyle w:val="Paragraphe-CGPC"/>
      </w:pPr>
      <w:r w:rsidRPr="009201C0">
        <w:t>Normalement imposés dans la catégorie des BNC, les Agents d’Assurances peuvent être imposés, sur option et sous conditions, selon le régime des Traitements et Salaires (art 93 – 1 ter du CGI)</w:t>
      </w:r>
    </w:p>
    <w:p w14:paraId="2D44660F" w14:textId="77777777" w:rsidR="00CB575E" w:rsidRPr="009201C0" w:rsidRDefault="00CB575E" w:rsidP="002E5F2B">
      <w:pPr>
        <w:pStyle w:val="Paragraphe-CGPC"/>
      </w:pPr>
      <w:r w:rsidRPr="009201C0">
        <w:t>Les « droits d’auteur » sont les rémunérations perçues par l’auteur d’une œuvre de l’esprit (écrits, photos, partitions, logiciels) : revenus versés par les éditeurs, subventions, prix, par exemple. L’auteur peut déclarer lui-même ses revenus directement dans la catégorie bénéfices non commerciaux (BNC) de sa déclaration de revenus.</w:t>
      </w:r>
    </w:p>
    <w:p w14:paraId="340C1D79" w14:textId="77777777" w:rsidR="00CB575E" w:rsidRPr="009201C0" w:rsidRDefault="00CB575E" w:rsidP="002E5F2B">
      <w:pPr>
        <w:pStyle w:val="Paragraphe-CGPC"/>
      </w:pPr>
      <w:r w:rsidRPr="009201C0">
        <w:t>Lorsqu’ils sont déclarés par des tiers, leur montant doit apparaître dans la catégorie des traitements et salaires.</w:t>
      </w:r>
    </w:p>
    <w:p w14:paraId="4FD3847F" w14:textId="77777777" w:rsidR="00CB575E" w:rsidRPr="009201C0" w:rsidRDefault="00CB575E" w:rsidP="002E5F2B">
      <w:pPr>
        <w:pStyle w:val="Paragraphe-CGPC"/>
      </w:pPr>
      <w:r w:rsidRPr="009201C0">
        <w:t>Doivent également être déclarées :</w:t>
      </w:r>
    </w:p>
    <w:p w14:paraId="008ED84D" w14:textId="77777777" w:rsidR="00CB575E" w:rsidRPr="000C7002" w:rsidRDefault="00CB575E" w:rsidP="002E5F2B">
      <w:pPr>
        <w:pStyle w:val="Paragraphe-CGPC"/>
      </w:pPr>
      <w:r w:rsidRPr="000C7002">
        <w:t>Les indemnités de fonctions </w:t>
      </w:r>
      <w:r w:rsidRPr="000C7002">
        <w:rPr>
          <w:rStyle w:val="lev"/>
        </w:rPr>
        <w:t>des élus locaux</w:t>
      </w:r>
      <w:r w:rsidRPr="000C7002">
        <w:t> (sous déduction des frais d’emploi), jusqu’ici soumises à une retenue à la source libératoire, sauf option pour les règles des traitements et salaires ;</w:t>
      </w:r>
    </w:p>
    <w:p w14:paraId="030CC57D" w14:textId="77777777" w:rsidR="00CB575E" w:rsidRPr="000C7002" w:rsidRDefault="00CB575E" w:rsidP="002E5F2B">
      <w:pPr>
        <w:pStyle w:val="Paragraphe-CGPC"/>
      </w:pPr>
      <w:r w:rsidRPr="000C7002">
        <w:t>Les indemnités </w:t>
      </w:r>
      <w:r w:rsidRPr="000C7002">
        <w:rPr>
          <w:rStyle w:val="lev"/>
        </w:rPr>
        <w:t>de fonctions parlementaires</w:t>
      </w:r>
      <w:r w:rsidRPr="000C7002">
        <w:t>, jusqu’à présent exonérées d’impôt ;</w:t>
      </w:r>
    </w:p>
    <w:p w14:paraId="1C00F2C7" w14:textId="77777777" w:rsidR="00CB575E" w:rsidRPr="000C7002" w:rsidRDefault="00CB575E" w:rsidP="002E5F2B">
      <w:pPr>
        <w:pStyle w:val="Paragraphe-CGPC"/>
      </w:pPr>
      <w:r w:rsidRPr="000C7002">
        <w:t>L</w:t>
      </w:r>
      <w:r w:rsidRPr="000C7002">
        <w:rPr>
          <w:rStyle w:val="lev"/>
        </w:rPr>
        <w:t>es indemnités du Président de la République et des membres du gouvernement</w:t>
      </w:r>
      <w:r w:rsidRPr="000C7002">
        <w:t>, également exonérées jusqu’à cette date.</w:t>
      </w:r>
    </w:p>
    <w:p w14:paraId="6B6E7B44" w14:textId="77777777" w:rsidR="00CB575E" w:rsidRPr="009201C0" w:rsidRDefault="00CB575E" w:rsidP="002E5F2B">
      <w:pPr>
        <w:pStyle w:val="Paragraphe-CGPC"/>
      </w:pPr>
      <w:r w:rsidRPr="000C7002">
        <w:t>L’ensemble des informations est porté sur une déclaration fiscale « </w:t>
      </w:r>
      <w:r w:rsidRPr="000C7002">
        <w:rPr>
          <w:rStyle w:val="lev"/>
        </w:rPr>
        <w:t>revenu brut global</w:t>
      </w:r>
      <w:r w:rsidRPr="000C7002">
        <w:t>». Ces informations sont</w:t>
      </w:r>
      <w:r w:rsidRPr="009201C0">
        <w:t>, pour la plupart, pré-imprimées sur la déclaration par l’administration fiscale.</w:t>
      </w:r>
    </w:p>
    <w:p w14:paraId="087BCF63" w14:textId="77777777" w:rsidR="00CB575E" w:rsidRPr="009201C0" w:rsidRDefault="00CB575E" w:rsidP="002E5F2B">
      <w:pPr>
        <w:pStyle w:val="Paragraphe-CGPC"/>
      </w:pPr>
      <w:r w:rsidRPr="009201C0">
        <w:t>Il existe des exceptions au principe d’imposition des rémunérations : certaines indemnités échappent à l’impôt sur le revenu (IR), de même qu’aux différentes taxes sur les salaires.</w:t>
      </w:r>
    </w:p>
    <w:p w14:paraId="10CFC596" w14:textId="77777777" w:rsidR="00CB575E" w:rsidRPr="009201C0" w:rsidRDefault="00CB575E" w:rsidP="002E5F2B">
      <w:pPr>
        <w:pStyle w:val="Paragraphe-CGPC"/>
      </w:pPr>
      <w:r w:rsidRPr="009201C0">
        <w:t>Il en est ainsi :</w:t>
      </w:r>
    </w:p>
    <w:p w14:paraId="0DDBBCF3" w14:textId="77777777" w:rsidR="00CB575E" w:rsidRPr="009201C0" w:rsidRDefault="00CB575E" w:rsidP="002E5F2B">
      <w:pPr>
        <w:pStyle w:val="Paragraphe-CGPC"/>
      </w:pPr>
      <w:r w:rsidRPr="009201C0">
        <w:t>Des sommes perçues au titre de la participation ;</w:t>
      </w:r>
    </w:p>
    <w:p w14:paraId="41EC6542" w14:textId="77777777" w:rsidR="00CB575E" w:rsidRPr="009201C0" w:rsidRDefault="00CB575E" w:rsidP="002E5F2B">
      <w:pPr>
        <w:pStyle w:val="Paragraphe-CGPC"/>
      </w:pPr>
      <w:r w:rsidRPr="009201C0">
        <w:lastRenderedPageBreak/>
        <w:t>Des diverses prestations sociales (par exemple, les allocations familiales), à l’exception des indemnités journalières perçues en cas de maladie et maternité et depuis le premier janvier 2010 de la moitié des indemnités journalières allouées en cas d’accident du travail ;</w:t>
      </w:r>
    </w:p>
    <w:p w14:paraId="24F56A8C" w14:textId="77777777" w:rsidR="00CB575E" w:rsidRPr="00AC04E5" w:rsidRDefault="00CB575E" w:rsidP="002E5F2B">
      <w:pPr>
        <w:pStyle w:val="Paragraphe-CGPC"/>
      </w:pPr>
      <w:r w:rsidRPr="00AC04E5">
        <w:t>Des indemnités de clientèle perçues par les représentants de commerce ;</w:t>
      </w:r>
    </w:p>
    <w:p w14:paraId="00523D9D" w14:textId="77777777" w:rsidR="00552B2B" w:rsidRPr="00AC04E5" w:rsidRDefault="00CB575E" w:rsidP="002E5F2B">
      <w:pPr>
        <w:pStyle w:val="Paragraphe-CGPC"/>
      </w:pPr>
      <w:r w:rsidRPr="00AC04E5">
        <w:t>Des indemnités de licenciement</w:t>
      </w:r>
    </w:p>
    <w:p w14:paraId="760540F7" w14:textId="795D033D" w:rsidR="00CB575E" w:rsidRPr="00AC04E5" w:rsidRDefault="00CB575E" w:rsidP="002E5F2B">
      <w:pPr>
        <w:pStyle w:val="Paragraphe-CGPC"/>
      </w:pPr>
      <w:r w:rsidRPr="00AC04E5">
        <w:rPr>
          <w:rStyle w:val="Accentuation"/>
          <w:i w:val="0"/>
          <w:iCs w:val="0"/>
        </w:rPr>
        <w:t>L’indemnité de licenciement est totalement exonérée d’impôt sur le revenu lorsqu’elle est versée dans le cadre d’un </w:t>
      </w:r>
      <w:hyperlink r:id="rId12" w:history="1">
        <w:r w:rsidRPr="00AC04E5">
          <w:rPr>
            <w:rStyle w:val="Lienhypertexte"/>
            <w:color w:val="666666"/>
            <w:u w:val="none"/>
          </w:rPr>
          <w:t>plan de sauvegarde de l’emploi (PSE)</w:t>
        </w:r>
      </w:hyperlink>
      <w:r w:rsidRPr="00AC04E5">
        <w:rPr>
          <w:rStyle w:val="Accentuation"/>
          <w:i w:val="0"/>
          <w:iCs w:val="0"/>
        </w:rPr>
        <w:t>.Si elle est perçue dans un autre cadre qu’un PSE (licenciement personnel, par exemple), elle est exonérée dans une certaine limite :</w:t>
      </w:r>
    </w:p>
    <w:p w14:paraId="429A4834" w14:textId="77777777" w:rsidR="00CB575E" w:rsidRPr="00AC04E5" w:rsidRDefault="00CB575E" w:rsidP="002E5F2B">
      <w:pPr>
        <w:pStyle w:val="Paragraphe-CGPC"/>
      </w:pPr>
      <w:r w:rsidRPr="00AC04E5">
        <w:rPr>
          <w:rStyle w:val="Accentuation"/>
          <w:i w:val="0"/>
          <w:iCs w:val="0"/>
        </w:rPr>
        <w:t>Le montant correspondant à l’indemnité fixée par la loi ou la convention collective est exonéré en totalité,</w:t>
      </w:r>
    </w:p>
    <w:p w14:paraId="33D0D220" w14:textId="77777777" w:rsidR="00CB575E" w:rsidRPr="00AC04E5" w:rsidRDefault="00CB575E" w:rsidP="002E5F2B">
      <w:pPr>
        <w:pStyle w:val="Paragraphe-CGPC"/>
      </w:pPr>
      <w:r w:rsidRPr="00AC04E5">
        <w:rPr>
          <w:rStyle w:val="Accentuation"/>
          <w:i w:val="0"/>
          <w:iCs w:val="0"/>
        </w:rPr>
        <w:t>Pour un montant supérieur, l’exonération est limitée à l’un des montants suivants :</w:t>
      </w:r>
    </w:p>
    <w:p w14:paraId="6D19EA4B" w14:textId="08013062" w:rsidR="00CB575E" w:rsidRPr="00AC04E5" w:rsidRDefault="00CB575E" w:rsidP="002E5F2B">
      <w:pPr>
        <w:pStyle w:val="Paragraphe-CGPC"/>
      </w:pPr>
      <w:r w:rsidRPr="00AC04E5">
        <w:rPr>
          <w:rStyle w:val="Accentuation"/>
          <w:i w:val="0"/>
          <w:iCs w:val="0"/>
        </w:rPr>
        <w:t xml:space="preserve">2 fois le montant de la rémunération brute annuelle perçue l’année précédant le licenciement, dans la limite de </w:t>
      </w:r>
      <w:r w:rsidR="00847070" w:rsidRPr="00BF2476">
        <w:rPr>
          <w:rStyle w:val="Accentuation"/>
          <w:i w:val="0"/>
          <w:iCs w:val="0"/>
          <w:strike/>
          <w:color w:val="EE0000"/>
        </w:rPr>
        <w:t>278 208</w:t>
      </w:r>
      <w:r w:rsidRPr="00BF2476">
        <w:rPr>
          <w:rStyle w:val="Accentuation"/>
          <w:i w:val="0"/>
          <w:iCs w:val="0"/>
          <w:strike/>
          <w:color w:val="EE0000"/>
        </w:rPr>
        <w:t xml:space="preserve"> €</w:t>
      </w:r>
      <w:r w:rsidRPr="00BF2476">
        <w:rPr>
          <w:rStyle w:val="Accentuation"/>
          <w:i w:val="0"/>
          <w:iCs w:val="0"/>
          <w:color w:val="EE0000"/>
        </w:rPr>
        <w:t xml:space="preserve"> </w:t>
      </w:r>
      <w:r w:rsidR="006674FC">
        <w:rPr>
          <w:rStyle w:val="Accentuation"/>
          <w:i w:val="0"/>
          <w:iCs w:val="0"/>
        </w:rPr>
        <w:t xml:space="preserve">282 600 € </w:t>
      </w:r>
      <w:r w:rsidRPr="00AC04E5">
        <w:rPr>
          <w:rStyle w:val="Accentuation"/>
          <w:i w:val="0"/>
          <w:iCs w:val="0"/>
        </w:rPr>
        <w:t xml:space="preserve">pour les indemnités encaissées en </w:t>
      </w:r>
      <w:r w:rsidRPr="00BF2476">
        <w:rPr>
          <w:rStyle w:val="Accentuation"/>
          <w:i w:val="0"/>
          <w:iCs w:val="0"/>
          <w:strike/>
          <w:color w:val="EE0000"/>
        </w:rPr>
        <w:t>202</w:t>
      </w:r>
      <w:r w:rsidR="00847070" w:rsidRPr="00BF2476">
        <w:rPr>
          <w:rStyle w:val="Accentuation"/>
          <w:i w:val="0"/>
          <w:iCs w:val="0"/>
          <w:strike/>
          <w:color w:val="EE0000"/>
        </w:rPr>
        <w:t>4</w:t>
      </w:r>
      <w:r w:rsidRPr="00AC04E5">
        <w:rPr>
          <w:rStyle w:val="Accentuation"/>
          <w:i w:val="0"/>
          <w:iCs w:val="0"/>
        </w:rPr>
        <w:t>,</w:t>
      </w:r>
      <w:r w:rsidR="006674FC">
        <w:rPr>
          <w:rStyle w:val="Accentuation"/>
          <w:i w:val="0"/>
          <w:iCs w:val="0"/>
        </w:rPr>
        <w:t xml:space="preserve"> 2025 </w:t>
      </w:r>
    </w:p>
    <w:p w14:paraId="163E22D4" w14:textId="1AF1D050" w:rsidR="00CB575E" w:rsidRPr="004E5171" w:rsidRDefault="00CB575E" w:rsidP="002E5F2B">
      <w:pPr>
        <w:pStyle w:val="Paragraphe-CGPC"/>
      </w:pPr>
      <w:r w:rsidRPr="00AC04E5">
        <w:rPr>
          <w:rStyle w:val="Accentuation"/>
          <w:i w:val="0"/>
          <w:iCs w:val="0"/>
        </w:rPr>
        <w:t xml:space="preserve">50 % du montant de l’indemnité perçue, dans la limite de </w:t>
      </w:r>
      <w:r w:rsidRPr="00BF2476">
        <w:rPr>
          <w:rStyle w:val="Accentuation"/>
          <w:i w:val="0"/>
          <w:iCs w:val="0"/>
          <w:strike/>
        </w:rPr>
        <w:t>2</w:t>
      </w:r>
      <w:r w:rsidR="00847070" w:rsidRPr="00BF2476">
        <w:rPr>
          <w:rStyle w:val="Accentuation"/>
          <w:i w:val="0"/>
          <w:iCs w:val="0"/>
          <w:strike/>
        </w:rPr>
        <w:t>78</w:t>
      </w:r>
      <w:r w:rsidRPr="00BF2476">
        <w:rPr>
          <w:rStyle w:val="Accentuation"/>
          <w:i w:val="0"/>
          <w:iCs w:val="0"/>
          <w:strike/>
        </w:rPr>
        <w:t xml:space="preserve"> </w:t>
      </w:r>
      <w:r w:rsidR="00847070" w:rsidRPr="00BF2476">
        <w:rPr>
          <w:rStyle w:val="Accentuation"/>
          <w:i w:val="0"/>
          <w:iCs w:val="0"/>
          <w:strike/>
        </w:rPr>
        <w:t xml:space="preserve">208 </w:t>
      </w:r>
      <w:r w:rsidRPr="00BF2476">
        <w:rPr>
          <w:rStyle w:val="Accentuation"/>
          <w:i w:val="0"/>
          <w:iCs w:val="0"/>
          <w:strike/>
        </w:rPr>
        <w:t>€</w:t>
      </w:r>
      <w:r w:rsidR="004E5171">
        <w:rPr>
          <w:rStyle w:val="Accentuation"/>
          <w:i w:val="0"/>
          <w:iCs w:val="0"/>
          <w:strike/>
        </w:rPr>
        <w:t xml:space="preserve">   </w:t>
      </w:r>
      <w:r w:rsidR="004E5171">
        <w:rPr>
          <w:rStyle w:val="Accentuation"/>
          <w:i w:val="0"/>
          <w:iCs w:val="0"/>
        </w:rPr>
        <w:t>282 600 €</w:t>
      </w:r>
    </w:p>
    <w:p w14:paraId="68CAE1ED" w14:textId="77777777" w:rsidR="00CB575E" w:rsidRPr="00AC04E5" w:rsidRDefault="00CB575E" w:rsidP="002E5F2B">
      <w:pPr>
        <w:pStyle w:val="Paragraphe-CGPC"/>
      </w:pPr>
      <w:r w:rsidRPr="00AC04E5">
        <w:t>Des indemnités forfaitaires pour frais de mission et de représentation (sauf lorsqu’elles sont versées à des dirigeants de sociétés) ;</w:t>
      </w:r>
    </w:p>
    <w:p w14:paraId="4A4A22CE" w14:textId="77777777" w:rsidR="00CB575E" w:rsidRPr="00AC04E5" w:rsidRDefault="00CB575E" w:rsidP="002E5F2B">
      <w:pPr>
        <w:pStyle w:val="Paragraphe-CGPC"/>
      </w:pPr>
      <w:r w:rsidRPr="00AC04E5">
        <w:t>Du supplément de rémunération (prime d’impatriation) versé à certains salariés exerçant temporairement une activité en France (régime des impatriés).</w:t>
      </w:r>
    </w:p>
    <w:p w14:paraId="19260D48" w14:textId="77777777" w:rsidR="00CB575E" w:rsidRPr="00AC04E5" w:rsidRDefault="00CB575E" w:rsidP="002E5F2B">
      <w:pPr>
        <w:pStyle w:val="Paragraphe-CGPC"/>
      </w:pPr>
      <w:hyperlink r:id="rId13" w:history="1">
        <w:r w:rsidRPr="00AC04E5">
          <w:rPr>
            <w:rStyle w:val="Lienhypertexte"/>
            <w:color w:val="666666"/>
            <w:u w:val="none"/>
          </w:rPr>
          <w:t>https://www.impots.gouv.fr/portail/international-particulier/le-regime-des-impatries</w:t>
        </w:r>
      </w:hyperlink>
    </w:p>
    <w:p w14:paraId="63D851D4" w14:textId="235A9499" w:rsidR="00CB575E" w:rsidRPr="00AC04E5" w:rsidRDefault="00CB575E" w:rsidP="002E5F2B">
      <w:pPr>
        <w:pStyle w:val="Paragraphe-CGPC"/>
      </w:pPr>
      <w:r w:rsidRPr="00AC04E5">
        <w:t>Les </w:t>
      </w:r>
      <w:r w:rsidRPr="00AC04E5">
        <w:rPr>
          <w:rStyle w:val="lev"/>
          <w:b w:val="0"/>
          <w:bCs/>
        </w:rPr>
        <w:t>salaires versés aux étudiants</w:t>
      </w:r>
      <w:r w:rsidRPr="00AC04E5">
        <w:t> </w:t>
      </w:r>
      <w:r w:rsidR="008F78C7" w:rsidRPr="00AC04E5">
        <w:t xml:space="preserve">ou </w:t>
      </w:r>
      <w:r w:rsidRPr="00AC04E5">
        <w:t>élèves de moins de 25 ans dans la limite annuelle égale à trois fois le montant mensuel du SMIC.</w:t>
      </w:r>
    </w:p>
    <w:p w14:paraId="7CC82793" w14:textId="77777777" w:rsidR="00CB575E" w:rsidRPr="00AC04E5" w:rsidRDefault="00CB575E" w:rsidP="002E5F2B">
      <w:pPr>
        <w:pStyle w:val="Paragraphe-CGPC"/>
      </w:pPr>
      <w:r w:rsidRPr="00AC04E5">
        <w:t>La rémunération au titre de l’apprentissage dans la limite du SMIC annuel.</w:t>
      </w:r>
    </w:p>
    <w:p w14:paraId="25A33262" w14:textId="77777777" w:rsidR="00CB575E" w:rsidRPr="009201C0" w:rsidRDefault="00CB575E" w:rsidP="00552B2B">
      <w:r w:rsidRPr="009201C0">
        <w:t> </w:t>
      </w:r>
    </w:p>
    <w:p w14:paraId="00D0965F" w14:textId="6E126CA6" w:rsidR="00CB575E" w:rsidRPr="009201C0" w:rsidRDefault="00CB575E" w:rsidP="002E5F2B">
      <w:pPr>
        <w:pStyle w:val="Titre3"/>
      </w:pPr>
      <w:bookmarkStart w:id="38" w:name="_Toc207183023"/>
      <w:bookmarkStart w:id="39" w:name="_Toc233204939"/>
      <w:r w:rsidRPr="009201C0">
        <w:t>Les avantages en nature</w:t>
      </w:r>
      <w:bookmarkEnd w:id="38"/>
      <w:bookmarkEnd w:id="39"/>
    </w:p>
    <w:p w14:paraId="5D2579E6" w14:textId="77777777" w:rsidR="00CB575E" w:rsidRPr="009201C0" w:rsidRDefault="00CB575E" w:rsidP="002E5F2B">
      <w:pPr>
        <w:pStyle w:val="Paragraphe-CGPC"/>
      </w:pPr>
      <w:r w:rsidRPr="009201C0">
        <w:t>Les avantages en nature sont constitués par la fourniture par l’employeur à ses salariés d’un bien ou service. La mise à disposition peut être gratuite ou moyennant une participation du salarié inférieure à leur valeur réelle.</w:t>
      </w:r>
    </w:p>
    <w:p w14:paraId="01C26006" w14:textId="77777777" w:rsidR="00CB575E" w:rsidRPr="009201C0" w:rsidRDefault="00CB575E" w:rsidP="002E5F2B">
      <w:pPr>
        <w:pStyle w:val="Paragraphe-CGPC"/>
      </w:pPr>
      <w:r w:rsidRPr="009201C0">
        <w:lastRenderedPageBreak/>
        <w:t>Ils permettent aux salariés de faire l’économie de frais qu’ils auraient dû normalement supporter. Ils sont dès lors soumis à cotisations et sont donc imposables sur le revenu.</w:t>
      </w:r>
    </w:p>
    <w:p w14:paraId="18EA819A" w14:textId="77777777" w:rsidR="00CB575E" w:rsidRPr="009201C0" w:rsidRDefault="00CB575E" w:rsidP="002E5F2B">
      <w:pPr>
        <w:pStyle w:val="Paragraphe-CGPC"/>
      </w:pPr>
      <w:r w:rsidRPr="009201C0">
        <w:t>L’avantage en nature doit figurer sur le bulletin de paie. Il sera indiqué au niveau du salaire brut pour être soumis à cotisations. Après détermination du salaire net imposable, il sera déduit du salaire net à verser au salarié.</w:t>
      </w:r>
    </w:p>
    <w:p w14:paraId="777AA5FE" w14:textId="77777777" w:rsidR="00CB575E" w:rsidRPr="009201C0" w:rsidRDefault="00CB575E" w:rsidP="002E5F2B">
      <w:pPr>
        <w:pStyle w:val="Paragraphe-CGPC"/>
      </w:pPr>
      <w:r w:rsidRPr="009201C0">
        <w:t>Si, pour bénéficier de l’avantage, le salarié fait l’objet d’une retenue sur salaire ou participe financièrement à l’acquisition du bien ou du service, le montant de l’avantage est réduit de ce montant.</w:t>
      </w:r>
    </w:p>
    <w:p w14:paraId="373F0932" w14:textId="77777777" w:rsidR="00CB575E" w:rsidRPr="009201C0" w:rsidRDefault="00CB575E" w:rsidP="002E5F2B">
      <w:pPr>
        <w:pStyle w:val="Paragraphe-CGPC"/>
      </w:pPr>
      <w:r w:rsidRPr="009201C0">
        <w:t>Les avantages en nature sont pris en compte pour vérifier que le salaire minimum est atteint.</w:t>
      </w:r>
    </w:p>
    <w:p w14:paraId="085089D3" w14:textId="77777777" w:rsidR="00CB575E" w:rsidRPr="009201C0" w:rsidRDefault="00CB575E" w:rsidP="002E5F2B">
      <w:pPr>
        <w:pStyle w:val="Paragraphe-CGPC"/>
      </w:pPr>
      <w:r w:rsidRPr="009201C0">
        <w:t>Les avantages en nature peuvent être évalués en fonction de leur valeur réelle ou forfaitairement.</w:t>
      </w:r>
    </w:p>
    <w:p w14:paraId="14C42225" w14:textId="77777777" w:rsidR="00CB575E" w:rsidRPr="009201C0" w:rsidRDefault="00CB575E" w:rsidP="002E5F2B">
      <w:pPr>
        <w:pStyle w:val="Paragraphe-CGPC"/>
      </w:pPr>
      <w:r w:rsidRPr="009201C0">
        <w:t>L’évaluation forfaitaire est possible pour :</w:t>
      </w:r>
    </w:p>
    <w:p w14:paraId="435EABA6" w14:textId="77777777" w:rsidR="00CB575E" w:rsidRPr="009201C0" w:rsidRDefault="00CB575E" w:rsidP="002E5F2B">
      <w:pPr>
        <w:pStyle w:val="Paragraphe-CGPC"/>
      </w:pPr>
      <w:r w:rsidRPr="009201C0">
        <w:t>La nourriture,</w:t>
      </w:r>
    </w:p>
    <w:p w14:paraId="21EBE0B7" w14:textId="77777777" w:rsidR="00CB575E" w:rsidRPr="009201C0" w:rsidRDefault="00CB575E" w:rsidP="002E5F2B">
      <w:pPr>
        <w:pStyle w:val="Paragraphe-CGPC"/>
      </w:pPr>
      <w:r w:rsidRPr="009201C0">
        <w:t>Le logement,</w:t>
      </w:r>
    </w:p>
    <w:p w14:paraId="7118850C" w14:textId="77777777" w:rsidR="00CB575E" w:rsidRPr="009201C0" w:rsidRDefault="00CB575E" w:rsidP="002E5F2B">
      <w:pPr>
        <w:pStyle w:val="Paragraphe-CGPC"/>
      </w:pPr>
      <w:r w:rsidRPr="009201C0">
        <w:t>Le véhicule,</w:t>
      </w:r>
    </w:p>
    <w:p w14:paraId="54B522E1" w14:textId="77777777" w:rsidR="00CB575E" w:rsidRPr="009201C0" w:rsidRDefault="00CB575E" w:rsidP="002E5F2B">
      <w:pPr>
        <w:pStyle w:val="Paragraphe-CGPC"/>
      </w:pPr>
      <w:r w:rsidRPr="009201C0">
        <w:t>Les outils de communication (téléphone mobile, micro-ordinateur, accès interne…).</w:t>
      </w:r>
    </w:p>
    <w:p w14:paraId="440805F4" w14:textId="77777777" w:rsidR="00CB575E" w:rsidRPr="009201C0" w:rsidRDefault="00CB575E" w:rsidP="002E5F2B">
      <w:pPr>
        <w:pStyle w:val="Paragraphe-CGPC"/>
      </w:pPr>
      <w:r w:rsidRPr="009201C0">
        <w:t>Tous les autres avantages en nature doivent être évalués pour leur valeur réelle.</w:t>
      </w:r>
    </w:p>
    <w:p w14:paraId="02D930EB" w14:textId="77777777" w:rsidR="00CB575E" w:rsidRPr="009201C0" w:rsidRDefault="00CB575E" w:rsidP="002E5F2B">
      <w:pPr>
        <w:pStyle w:val="Paragraphe-CGPC"/>
      </w:pPr>
      <w:r w:rsidRPr="009201C0">
        <w:t>L’évaluation forfaitaire constitue une valeur minimale. Si la convention collective ou le contrat de travail prévoit une valeur supérieure, celle-ci s’applique. A l’inverse, en cas d’évaluation inférieure, l’avantage sera tout de même retenu pour le montant de l’évaluation forfaitaire. Elle ne tient pas compte, à l’exception du logement, du montant de la rémunération.</w:t>
      </w:r>
    </w:p>
    <w:p w14:paraId="61366197" w14:textId="77777777" w:rsidR="00CB575E" w:rsidRPr="009201C0" w:rsidRDefault="00CB575E" w:rsidP="002E5F2B">
      <w:pPr>
        <w:pStyle w:val="Paragraphe-CGPC"/>
      </w:pPr>
      <w:r w:rsidRPr="009201C0">
        <w:t>L’évaluation forfaitaire concerne les travailleurs salariés et assimilés. Elle ne peut être appliquée aux dirigeants et mandataires sociaux. En sont exclus :</w:t>
      </w:r>
    </w:p>
    <w:p w14:paraId="7E4ABCDD" w14:textId="77777777" w:rsidR="00CB575E" w:rsidRPr="009201C0" w:rsidRDefault="00CB575E" w:rsidP="002E5F2B">
      <w:pPr>
        <w:pStyle w:val="Paragraphe-CGPC"/>
      </w:pPr>
      <w:r w:rsidRPr="009201C0">
        <w:t>Les gérants minoritaires ou égalitaires de sociétés à responsabilité limitée (SARL) ou de sociétés d’exercice libéral à responsabilité limitée (SELARL),</w:t>
      </w:r>
    </w:p>
    <w:p w14:paraId="143C676B" w14:textId="77777777" w:rsidR="00CB575E" w:rsidRPr="009201C0" w:rsidRDefault="00CB575E" w:rsidP="002E5F2B">
      <w:pPr>
        <w:pStyle w:val="Paragraphe-CGPC"/>
      </w:pPr>
      <w:r w:rsidRPr="009201C0">
        <w:t>Les présidents-directeurs et directeurs généraux de sociétés anonymes (SA) et de sociétés d’exercice libéral à forme anonyme (SELAFA),</w:t>
      </w:r>
    </w:p>
    <w:p w14:paraId="6C583488" w14:textId="77777777" w:rsidR="00CB575E" w:rsidRPr="009201C0" w:rsidRDefault="00CB575E" w:rsidP="002E5F2B">
      <w:pPr>
        <w:pStyle w:val="Paragraphe-CGPC"/>
      </w:pPr>
      <w:r w:rsidRPr="009201C0">
        <w:t>Les présidents et dirigeants de sociétés par actions simplifiées (SAS).</w:t>
      </w:r>
    </w:p>
    <w:p w14:paraId="0EE43C3F" w14:textId="77777777" w:rsidR="00CB575E" w:rsidRPr="009201C0" w:rsidRDefault="00CB575E" w:rsidP="002E5F2B">
      <w:pPr>
        <w:pStyle w:val="Paragraphe-CGPC"/>
      </w:pPr>
      <w:r w:rsidRPr="009201C0">
        <w:lastRenderedPageBreak/>
        <w:t>Pour ces catégories de personnel, l’avantage en nature est évalué selon la valeur réelle à l’exception des avantages en nature véhicule et outils issus des nouvelles technologies de l’information et de la communication (NTIC) pour lesquels le forfait peut être appliqué.</w:t>
      </w:r>
    </w:p>
    <w:p w14:paraId="64E7F3A8" w14:textId="77777777" w:rsidR="00CB575E" w:rsidRPr="009201C0" w:rsidRDefault="00CB575E" w:rsidP="00CB57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317B6BC5" w14:textId="0E8EEE51" w:rsidR="00CB575E" w:rsidRPr="00FC6C68" w:rsidRDefault="00CB575E" w:rsidP="002E5F2B">
      <w:pPr>
        <w:pStyle w:val="Titre2"/>
      </w:pPr>
      <w:bookmarkStart w:id="40" w:name="_Toc202191572"/>
      <w:bookmarkStart w:id="41" w:name="_Toc207183024"/>
      <w:bookmarkStart w:id="42" w:name="_Toc233204940"/>
      <w:r w:rsidRPr="00FC6C68">
        <w:t>Pensions et rentes viagères</w:t>
      </w:r>
      <w:bookmarkEnd w:id="40"/>
      <w:bookmarkEnd w:id="41"/>
      <w:bookmarkEnd w:id="42"/>
      <w:r w:rsidRPr="00FC6C68">
        <w:t> </w:t>
      </w:r>
    </w:p>
    <w:p w14:paraId="06838DF5" w14:textId="7FE9B05D" w:rsidR="00552B2B" w:rsidRPr="009201C0" w:rsidRDefault="00CB575E" w:rsidP="002E5F2B">
      <w:pPr>
        <w:pStyle w:val="Titre3"/>
        <w:numPr>
          <w:ilvl w:val="0"/>
          <w:numId w:val="35"/>
        </w:numPr>
      </w:pPr>
      <w:bookmarkStart w:id="43" w:name="_Toc207183025"/>
      <w:bookmarkStart w:id="44" w:name="_Toc233204941"/>
      <w:r w:rsidRPr="009201C0">
        <w:t>Les pensions, retraites et rentes viagères à titre gratuit</w:t>
      </w:r>
      <w:bookmarkEnd w:id="43"/>
      <w:bookmarkEnd w:id="44"/>
      <w:r w:rsidRPr="009201C0">
        <w:t> </w:t>
      </w:r>
    </w:p>
    <w:p w14:paraId="66E22215" w14:textId="1F9DDF13" w:rsidR="00CB575E" w:rsidRPr="009201C0" w:rsidRDefault="00CB575E" w:rsidP="002E5F2B">
      <w:pPr>
        <w:pStyle w:val="Paragraphe-CGPC"/>
      </w:pPr>
      <w:r w:rsidRPr="009201C0">
        <w:t>font partie de la même catégorie de revenus imposables que les  </w:t>
      </w:r>
      <w:r w:rsidRPr="009201C0">
        <w:rPr>
          <w:rStyle w:val="lev"/>
          <w:b w:val="0"/>
          <w:bCs/>
        </w:rPr>
        <w:t>traitements et salaires</w:t>
      </w:r>
      <w:r w:rsidRPr="009201C0">
        <w:t>. Elles sont toutefois soumises à des règles spécifiques.</w:t>
      </w:r>
    </w:p>
    <w:p w14:paraId="0C425E57" w14:textId="77777777" w:rsidR="00CB575E" w:rsidRPr="009201C0" w:rsidRDefault="00CB575E" w:rsidP="002E5F2B">
      <w:pPr>
        <w:pStyle w:val="Paragraphe-CGPC"/>
      </w:pPr>
      <w:r w:rsidRPr="009201C0">
        <w:t>Les pensions d’invalidité, de retraite (obligatoire, complémentaire ou de type PERP ou Madelin) et les rentes viagères à titre gratuit (constituées sans contrepartie et possédant un caractère obligatoire comme, par exemple, dans le cadre d’un contrat de mariage) sont imposées après </w:t>
      </w:r>
      <w:r w:rsidRPr="009201C0">
        <w:rPr>
          <w:rStyle w:val="lev"/>
          <w:b w:val="0"/>
          <w:bCs/>
        </w:rPr>
        <w:t>abattement spécifique de 10 %</w:t>
      </w:r>
      <w:r w:rsidRPr="009201C0">
        <w:t> comportant un minimum et un plafond.</w:t>
      </w:r>
    </w:p>
    <w:p w14:paraId="6929F9DB" w14:textId="34451DB6" w:rsidR="00CB575E" w:rsidRPr="009201C0" w:rsidRDefault="00CB575E" w:rsidP="002E5F2B">
      <w:pPr>
        <w:pStyle w:val="Paragraphe-CGPC"/>
      </w:pPr>
      <w:r w:rsidRPr="009201C0">
        <w:t xml:space="preserve">Pour l’imposition des revenus de </w:t>
      </w:r>
      <w:r w:rsidRPr="00BF2476">
        <w:rPr>
          <w:strike/>
        </w:rPr>
        <w:t>202</w:t>
      </w:r>
      <w:r w:rsidR="008F78C7" w:rsidRPr="00BF2476">
        <w:rPr>
          <w:strike/>
        </w:rPr>
        <w:t>4</w:t>
      </w:r>
      <w:r w:rsidRPr="009201C0">
        <w:t>,</w:t>
      </w:r>
      <w:r w:rsidR="00F27823">
        <w:t xml:space="preserve"> 2025 </w:t>
      </w:r>
      <w:r w:rsidRPr="009201C0">
        <w:t xml:space="preserve"> le </w:t>
      </w:r>
      <w:r w:rsidRPr="009201C0">
        <w:rPr>
          <w:rStyle w:val="lev"/>
          <w:b w:val="0"/>
          <w:bCs/>
        </w:rPr>
        <w:t>plafond</w:t>
      </w:r>
      <w:r w:rsidRPr="009201C0">
        <w:t> est de </w:t>
      </w:r>
      <w:r w:rsidRPr="00BF2476">
        <w:rPr>
          <w:rStyle w:val="lev"/>
          <w:b w:val="0"/>
          <w:bCs/>
          <w:strike/>
        </w:rPr>
        <w:t xml:space="preserve">4 </w:t>
      </w:r>
      <w:r w:rsidR="00EC3388" w:rsidRPr="00BF2476">
        <w:rPr>
          <w:rStyle w:val="lev"/>
          <w:b w:val="0"/>
          <w:bCs/>
          <w:strike/>
        </w:rPr>
        <w:t>3</w:t>
      </w:r>
      <w:r w:rsidR="008F78C7" w:rsidRPr="00BF2476">
        <w:rPr>
          <w:rStyle w:val="lev"/>
          <w:b w:val="0"/>
          <w:bCs/>
          <w:strike/>
        </w:rPr>
        <w:t xml:space="preserve">99 </w:t>
      </w:r>
      <w:r w:rsidRPr="00BF2476">
        <w:rPr>
          <w:rStyle w:val="lev"/>
          <w:b w:val="0"/>
          <w:bCs/>
          <w:strike/>
        </w:rPr>
        <w:t>€</w:t>
      </w:r>
      <w:r w:rsidRPr="009201C0">
        <w:t> </w:t>
      </w:r>
      <w:r w:rsidR="00F27823">
        <w:t xml:space="preserve"> 4 439 €</w:t>
      </w:r>
      <w:r w:rsidRPr="009201C0">
        <w:t>par foyer fiscal.</w:t>
      </w:r>
    </w:p>
    <w:p w14:paraId="0A6346FD" w14:textId="35E6167D" w:rsidR="00CB575E" w:rsidRPr="009201C0" w:rsidRDefault="00CB575E" w:rsidP="002E5F2B">
      <w:pPr>
        <w:pStyle w:val="Paragraphe-CGPC"/>
      </w:pPr>
      <w:r w:rsidRPr="009201C0">
        <w:t>Le montant </w:t>
      </w:r>
      <w:r w:rsidRPr="009201C0">
        <w:rPr>
          <w:rStyle w:val="lev"/>
          <w:b w:val="0"/>
          <w:bCs/>
        </w:rPr>
        <w:t>minimum</w:t>
      </w:r>
      <w:r w:rsidRPr="009201C0">
        <w:t> est de </w:t>
      </w:r>
      <w:r w:rsidRPr="00BF2476">
        <w:rPr>
          <w:rStyle w:val="lev"/>
          <w:b w:val="0"/>
          <w:bCs/>
          <w:strike/>
        </w:rPr>
        <w:t>4</w:t>
      </w:r>
      <w:r w:rsidR="008F78C7" w:rsidRPr="00BF2476">
        <w:rPr>
          <w:rStyle w:val="lev"/>
          <w:b w:val="0"/>
          <w:bCs/>
          <w:strike/>
        </w:rPr>
        <w:t>50</w:t>
      </w:r>
      <w:r w:rsidRPr="00BF2476">
        <w:rPr>
          <w:rStyle w:val="lev"/>
          <w:b w:val="0"/>
          <w:bCs/>
          <w:strike/>
        </w:rPr>
        <w:t xml:space="preserve"> €</w:t>
      </w:r>
      <w:r w:rsidRPr="009201C0">
        <w:t> </w:t>
      </w:r>
      <w:r w:rsidR="00E727A2">
        <w:t xml:space="preserve"> </w:t>
      </w:r>
      <w:r w:rsidR="00E727A2" w:rsidRPr="00BF2476">
        <w:t>454 €</w:t>
      </w:r>
      <w:r w:rsidR="00E727A2">
        <w:rPr>
          <w:strike/>
        </w:rPr>
        <w:t xml:space="preserve"> </w:t>
      </w:r>
      <w:r w:rsidRPr="009201C0">
        <w:t>par personne.</w:t>
      </w:r>
    </w:p>
    <w:p w14:paraId="1DA71820" w14:textId="73F6FE87" w:rsidR="00CB575E" w:rsidRPr="009201C0" w:rsidRDefault="00CB575E" w:rsidP="002E5F2B">
      <w:pPr>
        <w:pStyle w:val="Paragraphe-CGPC"/>
      </w:pPr>
      <w:r w:rsidRPr="00AC04E5">
        <w:rPr>
          <w:rStyle w:val="Accentuation"/>
          <w:b/>
          <w:bCs w:val="0"/>
          <w:i w:val="0"/>
          <w:iCs w:val="0"/>
          <w:u w:val="single"/>
        </w:rPr>
        <w:t>Observation</w:t>
      </w:r>
      <w:r w:rsidR="00AC04E5" w:rsidRPr="00AC04E5">
        <w:rPr>
          <w:rStyle w:val="Accentuation"/>
          <w:b/>
          <w:bCs w:val="0"/>
          <w:i w:val="0"/>
          <w:iCs w:val="0"/>
          <w:u w:val="single"/>
        </w:rPr>
        <w:t xml:space="preserve"> </w:t>
      </w:r>
      <w:r w:rsidRPr="00AC04E5">
        <w:rPr>
          <w:b/>
          <w:u w:val="single"/>
        </w:rPr>
        <w:t>:</w:t>
      </w:r>
      <w:r w:rsidRPr="009201C0">
        <w:t> les rentes viagères d’accident de travail ou de maladies professionnelles sont exonérées d’impôt</w:t>
      </w:r>
    </w:p>
    <w:p w14:paraId="2FC2C2CA" w14:textId="5DB79267" w:rsidR="00552B2B" w:rsidRPr="009201C0" w:rsidRDefault="00CB575E" w:rsidP="002E5F2B">
      <w:pPr>
        <w:pStyle w:val="Titre3"/>
      </w:pPr>
      <w:bookmarkStart w:id="45" w:name="_Toc207183026"/>
      <w:bookmarkStart w:id="46" w:name="_Toc233204942"/>
      <w:r w:rsidRPr="009201C0">
        <w:t>Les rentes viagères à titre onéreux</w:t>
      </w:r>
      <w:bookmarkEnd w:id="45"/>
      <w:bookmarkEnd w:id="46"/>
    </w:p>
    <w:p w14:paraId="2E5550A7" w14:textId="5BB7A85C" w:rsidR="00CB575E" w:rsidRPr="009201C0" w:rsidRDefault="00CB575E" w:rsidP="002E5F2B">
      <w:pPr>
        <w:pStyle w:val="Paragraphe-CGPC"/>
      </w:pPr>
      <w:r w:rsidRPr="009201C0">
        <w:t>(versées par le débirentier en échange d’un capital ou d’un immeuble, ou comme dommages intérêts) ne sont considérées comme un revenu pour l’application de l’impôt dû par le crédirentier, (titulaire de la rente) que pour </w:t>
      </w:r>
      <w:r w:rsidRPr="009201C0">
        <w:rPr>
          <w:rStyle w:val="lev"/>
          <w:b w:val="0"/>
          <w:bCs/>
        </w:rPr>
        <w:t>une fraction de leur montant</w:t>
      </w:r>
      <w:r w:rsidRPr="009201C0">
        <w:t>.</w:t>
      </w:r>
    </w:p>
    <w:p w14:paraId="1A03E605" w14:textId="77777777" w:rsidR="00CB575E" w:rsidRPr="009201C0" w:rsidRDefault="00CB575E" w:rsidP="002E5F2B">
      <w:pPr>
        <w:pStyle w:val="Paragraphe-CGPC"/>
      </w:pPr>
      <w:r w:rsidRPr="009201C0">
        <w:t>Cette fraction, imposable à l’IR, est </w:t>
      </w:r>
      <w:r w:rsidRPr="009201C0">
        <w:rPr>
          <w:rStyle w:val="lev"/>
          <w:b w:val="0"/>
          <w:bCs/>
        </w:rPr>
        <w:t>déterminée d’après l’âge du crédirentier </w:t>
      </w:r>
      <w:r w:rsidRPr="009201C0">
        <w:t>lors de l’entrée en service de la rente :</w:t>
      </w:r>
    </w:p>
    <w:p w14:paraId="229C0F02" w14:textId="77777777" w:rsidR="00CB575E" w:rsidRPr="009201C0" w:rsidRDefault="00CB575E" w:rsidP="002E5F2B">
      <w:pPr>
        <w:pStyle w:val="Paragraphe-CGPC"/>
      </w:pPr>
      <w:r w:rsidRPr="009201C0">
        <w:t>70 % si le crédirentier a moins de 50 ans ;</w:t>
      </w:r>
    </w:p>
    <w:p w14:paraId="57F87440" w14:textId="77777777" w:rsidR="00CB575E" w:rsidRPr="009201C0" w:rsidRDefault="00CB575E" w:rsidP="002E5F2B">
      <w:pPr>
        <w:pStyle w:val="Paragraphe-CGPC"/>
      </w:pPr>
      <w:r w:rsidRPr="009201C0">
        <w:t>50 % si le crédirentier a de 50 à 59 ans ;</w:t>
      </w:r>
    </w:p>
    <w:p w14:paraId="7190A1C0" w14:textId="77777777" w:rsidR="00CB575E" w:rsidRPr="009201C0" w:rsidRDefault="00CB575E" w:rsidP="002E5F2B">
      <w:pPr>
        <w:pStyle w:val="Paragraphe-CGPC"/>
      </w:pPr>
      <w:r w:rsidRPr="009201C0">
        <w:t>40 % si le crédirentier a de 60 à 69 ans ;</w:t>
      </w:r>
    </w:p>
    <w:p w14:paraId="549A2F2C" w14:textId="77777777" w:rsidR="00CB575E" w:rsidRPr="009201C0" w:rsidRDefault="00CB575E" w:rsidP="002E5F2B">
      <w:pPr>
        <w:pStyle w:val="Paragraphe-CGPC"/>
      </w:pPr>
      <w:r w:rsidRPr="009201C0">
        <w:lastRenderedPageBreak/>
        <w:t>30 % si le crédirentier a plus de 69 ans.</w:t>
      </w:r>
    </w:p>
    <w:p w14:paraId="3A107E88" w14:textId="658F721C" w:rsidR="00CB575E" w:rsidRPr="009201C0" w:rsidRDefault="00CB575E" w:rsidP="002E5F2B">
      <w:pPr>
        <w:pStyle w:val="Paragraphe-CGPC"/>
      </w:pPr>
      <w:r w:rsidRPr="00AC04E5">
        <w:rPr>
          <w:rStyle w:val="Accentuation"/>
          <w:b/>
          <w:bCs w:val="0"/>
          <w:i w:val="0"/>
          <w:iCs w:val="0"/>
          <w:u w:val="single"/>
        </w:rPr>
        <w:t>Observation </w:t>
      </w:r>
      <w:r w:rsidRPr="009201C0">
        <w:t>: </w:t>
      </w:r>
      <w:r w:rsidRPr="009201C0">
        <w:rPr>
          <w:rStyle w:val="Accentuation"/>
          <w:i w:val="0"/>
          <w:iCs w:val="0"/>
        </w:rPr>
        <w:t>Il n’est pas pratiqué d’abattement supplémentaire. Les rentes temporaires, les pensions versées en capital et les pensions alimentaires sont soumis à des régimes d’imposition particuliers.</w:t>
      </w:r>
    </w:p>
    <w:p w14:paraId="25D2EF31" w14:textId="77777777" w:rsidR="00CB575E" w:rsidRPr="009201C0" w:rsidRDefault="00CB575E" w:rsidP="002E5F2B">
      <w:pPr>
        <w:pStyle w:val="Paragraphe-CGPC"/>
      </w:pPr>
      <w:r w:rsidRPr="009201C0">
        <w:rPr>
          <w:rStyle w:val="lev"/>
          <w:b w:val="0"/>
          <w:bCs/>
        </w:rPr>
        <w:t>Les rentes issues d’un PEA ou d’un PEP</w:t>
      </w:r>
      <w:r w:rsidRPr="009201C0">
        <w:t> après 8 ans de détention ne sont pas imposables mais assujetties aux prélèvements sociaux.</w:t>
      </w:r>
    </w:p>
    <w:p w14:paraId="282EDEBA" w14:textId="77777777" w:rsidR="00CB575E" w:rsidRPr="009201C0" w:rsidRDefault="00CB575E" w:rsidP="00CB575E">
      <w:pPr>
        <w:pStyle w:val="NormalWeb"/>
        <w:spacing w:before="0" w:beforeAutospacing="0" w:after="0" w:afterAutospacing="0"/>
        <w:jc w:val="both"/>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29235AB1" w14:textId="300B9ACE" w:rsidR="00CB575E" w:rsidRPr="009201C0" w:rsidRDefault="00CB575E" w:rsidP="002E5F2B">
      <w:pPr>
        <w:pStyle w:val="Titre2"/>
      </w:pPr>
      <w:bookmarkStart w:id="47" w:name="_Toc202191573"/>
      <w:bookmarkStart w:id="48" w:name="_Toc207183027"/>
      <w:bookmarkStart w:id="49" w:name="_Toc233204943"/>
      <w:r w:rsidRPr="009201C0">
        <w:t>Revenus de capitaux mobiliers</w:t>
      </w:r>
      <w:bookmarkEnd w:id="47"/>
      <w:bookmarkEnd w:id="48"/>
      <w:bookmarkEnd w:id="49"/>
    </w:p>
    <w:p w14:paraId="4C5AF8F7" w14:textId="62D53988" w:rsidR="00CB575E" w:rsidRPr="009201C0" w:rsidRDefault="00CB575E" w:rsidP="002E5F2B">
      <w:pPr>
        <w:pStyle w:val="Titre3"/>
        <w:numPr>
          <w:ilvl w:val="0"/>
          <w:numId w:val="34"/>
        </w:numPr>
      </w:pPr>
      <w:bookmarkStart w:id="50" w:name="_Toc207183028"/>
      <w:bookmarkStart w:id="51" w:name="_Toc233204944"/>
      <w:r w:rsidRPr="009201C0">
        <w:t>La fiscalité des revenus d’actions françaises</w:t>
      </w:r>
      <w:bookmarkEnd w:id="50"/>
      <w:bookmarkEnd w:id="51"/>
      <w:r w:rsidRPr="009201C0">
        <w:t> </w:t>
      </w:r>
    </w:p>
    <w:p w14:paraId="590DEC34" w14:textId="77777777" w:rsidR="00CB575E" w:rsidRPr="009201C0" w:rsidRDefault="00CB575E" w:rsidP="002E5F2B">
      <w:pPr>
        <w:pStyle w:val="Paragraphe-CGPC"/>
      </w:pPr>
      <w:r w:rsidRPr="009201C0">
        <w:t>Les revenus d’actions ou de parts sociales distribuées par les sociétés aux actionnaires ou associés sont essentiellement les dividendes, qui proviennent des bénéfices réalisés par ces sociétés.</w:t>
      </w:r>
    </w:p>
    <w:p w14:paraId="062B63E1" w14:textId="13FEA68C" w:rsidR="00CB575E" w:rsidRPr="009201C0" w:rsidRDefault="00CB575E" w:rsidP="002E5F2B">
      <w:pPr>
        <w:pStyle w:val="Paragraphe-CGPC"/>
      </w:pPr>
      <w:r w:rsidRPr="009201C0">
        <w:t>Depuis le 1</w:t>
      </w:r>
      <w:r w:rsidRPr="009201C0">
        <w:rPr>
          <w:bdr w:val="none" w:sz="0" w:space="0" w:color="auto" w:frame="1"/>
          <w:vertAlign w:val="superscript"/>
        </w:rPr>
        <w:t>er</w:t>
      </w:r>
      <w:r w:rsidRPr="009201C0">
        <w:t> janvier 2018, les dividendes et assimilés sont imposables au Prélèvement Forfaitaire Unique (PFU) au taux de 12,8 % avec possibilité d’opter pour le barème progressif. Toutefois, l’option pour le barème progressif est irrévocable pour l’année au titre de laquelle elle est exercée et globale pour tous les revenus de capitaux mobiliers, plus-values mobilières et rachats de l’assurance vie (pour les produits relatifs aux primes versées après le 26 septembre 2017) réalisés au cours de l’année.</w:t>
      </w:r>
    </w:p>
    <w:p w14:paraId="49A3722C" w14:textId="77777777" w:rsidR="00CB575E" w:rsidRPr="009201C0" w:rsidRDefault="00CB575E" w:rsidP="002E5F2B">
      <w:pPr>
        <w:pStyle w:val="Paragraphe-CGPC"/>
      </w:pPr>
      <w:r w:rsidRPr="009201C0">
        <w:t>Le taux de 12,8% s’applique sur l’intégralité de l’assiette (dividendes, plus-value mobilières ou quote-part de plus-value du rachat d’assurance vie)</w:t>
      </w:r>
    </w:p>
    <w:p w14:paraId="1E5FEE1C" w14:textId="49C36FD4" w:rsidR="00CB575E" w:rsidRPr="00E71E9F" w:rsidRDefault="00CB575E" w:rsidP="002E5F2B">
      <w:pPr>
        <w:pStyle w:val="Paragraphe-CGPC"/>
      </w:pPr>
      <w:r w:rsidRPr="009201C0">
        <w:t>Lorsque le contribuable opte pour l</w:t>
      </w:r>
      <w:r w:rsidR="00AF5497" w:rsidRPr="009201C0">
        <w:t>’</w:t>
      </w:r>
      <w:r w:rsidRPr="009201C0">
        <w:t xml:space="preserve">intégration des dividendes dans les revenus, il bénéficie d’un abattement de 40%. Les dividendes sont </w:t>
      </w:r>
      <w:r w:rsidRPr="00E71E9F">
        <w:t>alors imposés sur 60% de leur montant.</w:t>
      </w:r>
    </w:p>
    <w:p w14:paraId="613E5FC4" w14:textId="3DE54541" w:rsidR="00CB575E" w:rsidRPr="00E71E9F" w:rsidRDefault="00CB575E" w:rsidP="002E5F2B">
      <w:pPr>
        <w:pStyle w:val="Paragraphe-CGPC"/>
      </w:pPr>
      <w:r w:rsidRPr="00E71E9F">
        <w:rPr>
          <w:rStyle w:val="Accentuation"/>
          <w:b/>
          <w:bCs w:val="0"/>
          <w:i w:val="0"/>
          <w:iCs w:val="0"/>
          <w:u w:val="single"/>
        </w:rPr>
        <w:t>À noter</w:t>
      </w:r>
      <w:r w:rsidRPr="00E71E9F">
        <w:rPr>
          <w:rStyle w:val="Accentuation"/>
          <w:i w:val="0"/>
          <w:iCs w:val="0"/>
        </w:rPr>
        <w:t> : cet abattement est applicable aux revenus distribués par les sociétés passibles de l’impôt sur les sociétés ou d’un impôt équivalent, ayant leur siège en France, dans un autre État de l’Union européenne ou dans un État ou territoire ayant conclu avec la France une convention fiscale en vue d’éviter les doubles impositions.</w:t>
      </w:r>
    </w:p>
    <w:p w14:paraId="30ECD9DD" w14:textId="1F9E98B8" w:rsidR="00CB575E" w:rsidRPr="00E71E9F" w:rsidRDefault="00CB575E" w:rsidP="002E5F2B">
      <w:pPr>
        <w:pStyle w:val="Paragraphe-CGPC"/>
      </w:pPr>
      <w:r w:rsidRPr="00E71E9F">
        <w:rPr>
          <w:rStyle w:val="Accentuation"/>
          <w:b/>
          <w:bCs w:val="0"/>
          <w:i w:val="0"/>
          <w:iCs w:val="0"/>
          <w:u w:val="single"/>
        </w:rPr>
        <w:t>Attention :</w:t>
      </w:r>
      <w:r w:rsidRPr="00E71E9F">
        <w:t> </w:t>
      </w:r>
      <w:r w:rsidRPr="00E71E9F">
        <w:rPr>
          <w:rStyle w:val="Accentuation"/>
          <w:i w:val="0"/>
          <w:iCs w:val="0"/>
        </w:rPr>
        <w:t>ce prélèvement ne s’applique pas aux revenus pris en compte pour la détermination du bénéfice imposable d’une entreprise ou d’une profession commerciale, ni aux revenus des titres détenus dans un PEA (ou PEA « PME-ETI » ).</w:t>
      </w:r>
    </w:p>
    <w:p w14:paraId="096ED033" w14:textId="71208896" w:rsidR="00CB575E" w:rsidRPr="009201C0" w:rsidRDefault="00CB575E" w:rsidP="002E5F2B">
      <w:pPr>
        <w:pStyle w:val="Titre3"/>
      </w:pPr>
      <w:bookmarkStart w:id="52" w:name="_Toc207183029"/>
      <w:bookmarkStart w:id="53" w:name="_Toc233204945"/>
      <w:r w:rsidRPr="009201C0">
        <w:lastRenderedPageBreak/>
        <w:t>La fiscalité des revenus d’obligations françaises</w:t>
      </w:r>
      <w:bookmarkEnd w:id="52"/>
      <w:bookmarkEnd w:id="53"/>
    </w:p>
    <w:p w14:paraId="07020B19" w14:textId="0DB18C2B" w:rsidR="002967F7" w:rsidRPr="00BF2476" w:rsidRDefault="00CB575E" w:rsidP="002E5F2B">
      <w:pPr>
        <w:pStyle w:val="Paragraphe-CGPC"/>
        <w:rPr>
          <w:color w:val="EE0000"/>
        </w:rPr>
      </w:pPr>
      <w:r w:rsidRPr="009201C0">
        <w:t>Les revenus d’obligations françaises, y compris les emprunts d’État sont depuis le 1</w:t>
      </w:r>
      <w:r w:rsidRPr="009201C0">
        <w:rPr>
          <w:bdr w:val="none" w:sz="0" w:space="0" w:color="auto" w:frame="1"/>
          <w:vertAlign w:val="superscript"/>
        </w:rPr>
        <w:t>er</w:t>
      </w:r>
      <w:r w:rsidRPr="009201C0">
        <w:t xml:space="preserve"> janvier 2018 soumis au PFU de 12,8% ou sur option au barème progressif et aux prélèvements sociaux de </w:t>
      </w:r>
      <w:r w:rsidRPr="00C51186">
        <w:t>17,2%.</w:t>
      </w:r>
    </w:p>
    <w:p w14:paraId="5F6B3084" w14:textId="225596F9" w:rsidR="00CB575E" w:rsidRPr="00E71E9F" w:rsidRDefault="00CB575E" w:rsidP="002E5F2B">
      <w:pPr>
        <w:pStyle w:val="Paragraphe-CGPC"/>
      </w:pPr>
      <w:r w:rsidRPr="00E71E9F">
        <w:rPr>
          <w:rStyle w:val="Accentuation"/>
          <w:b/>
          <w:bCs w:val="0"/>
          <w:i w:val="0"/>
          <w:iCs w:val="0"/>
          <w:u w:val="single"/>
        </w:rPr>
        <w:t>À noter </w:t>
      </w:r>
      <w:r w:rsidRPr="00E71E9F">
        <w:rPr>
          <w:b/>
          <w:u w:val="single"/>
        </w:rPr>
        <w:t>:</w:t>
      </w:r>
      <w:r w:rsidRPr="00E71E9F">
        <w:t> </w:t>
      </w:r>
      <w:r w:rsidRPr="00E71E9F">
        <w:rPr>
          <w:rStyle w:val="Accentuation"/>
          <w:i w:val="0"/>
          <w:iCs w:val="0"/>
        </w:rPr>
        <w:t>les produits distribués par les organismes de placement collectif (OPCVM et FIA) suivent le régime fiscal de la catégorie à laquelle ils appartiennent. Les revenus d’OPCVM obligations sont donc imposés comme les revenus d’obligations.</w:t>
      </w:r>
    </w:p>
    <w:p w14:paraId="2E3115B1" w14:textId="488D96EA" w:rsidR="00CB575E" w:rsidRPr="00E71E9F" w:rsidRDefault="00CB575E" w:rsidP="002E5F2B">
      <w:pPr>
        <w:pStyle w:val="Paragraphe-CGPC"/>
      </w:pPr>
      <w:r w:rsidRPr="00E71E9F">
        <w:rPr>
          <w:rStyle w:val="lev"/>
          <w:b w:val="0"/>
          <w:bCs/>
        </w:rPr>
        <w:t> </w:t>
      </w:r>
      <w:r w:rsidRPr="00E71E9F">
        <w:rPr>
          <w:rStyle w:val="Accentuation"/>
          <w:b/>
          <w:bCs w:val="0"/>
          <w:i w:val="0"/>
          <w:iCs w:val="0"/>
          <w:u w:val="single"/>
        </w:rPr>
        <w:t>Attention</w:t>
      </w:r>
      <w:r w:rsidRPr="00E71E9F">
        <w:rPr>
          <w:rStyle w:val="lev"/>
          <w:b w:val="0"/>
          <w:bCs/>
          <w:u w:val="single"/>
        </w:rPr>
        <w:t> :</w:t>
      </w:r>
      <w:r w:rsidRPr="00E71E9F">
        <w:t> </w:t>
      </w:r>
      <w:r w:rsidRPr="00E71E9F">
        <w:rPr>
          <w:rStyle w:val="Accentuation"/>
          <w:i w:val="0"/>
          <w:iCs w:val="0"/>
        </w:rPr>
        <w:t>Ce prélèvement ne s’applique pas aux revenus expressément exonérés par la loi (Livret A, LDD, etc.) et aux produits des contrats d’assurance-vie et de capitalisation.</w:t>
      </w:r>
    </w:p>
    <w:p w14:paraId="2C19E3B2" w14:textId="1052E247" w:rsidR="00CB575E" w:rsidRPr="009201C0" w:rsidRDefault="00CB575E" w:rsidP="002E5F2B">
      <w:pPr>
        <w:pStyle w:val="Titre3"/>
      </w:pPr>
      <w:bookmarkStart w:id="54" w:name="_Toc207183030"/>
      <w:bookmarkStart w:id="55" w:name="_Toc233204946"/>
      <w:r w:rsidRPr="009201C0">
        <w:t>Maintien du caractère libératoire du prélèvement</w:t>
      </w:r>
      <w:bookmarkEnd w:id="54"/>
      <w:bookmarkEnd w:id="55"/>
    </w:p>
    <w:p w14:paraId="7840E692" w14:textId="77777777" w:rsidR="00CB575E" w:rsidRPr="009201C0" w:rsidRDefault="00CB575E" w:rsidP="002E5F2B">
      <w:pPr>
        <w:pStyle w:val="Paragraphe-CGPC"/>
      </w:pPr>
      <w:r w:rsidRPr="009201C0">
        <w:t>Le prélèvement est libératoire de l’impôt sur le revenu dans les cas suivants :</w:t>
      </w:r>
    </w:p>
    <w:p w14:paraId="6CDA771B" w14:textId="77777777" w:rsidR="00CB575E" w:rsidRPr="009201C0" w:rsidRDefault="00CB575E" w:rsidP="002E5F2B">
      <w:pPr>
        <w:pStyle w:val="Paragraphe-CGPC"/>
      </w:pPr>
      <w:r w:rsidRPr="009201C0">
        <w:t>Prélèvement de 5 % sur les produits de l’épargne solidaire ;</w:t>
      </w:r>
    </w:p>
    <w:p w14:paraId="1418419E" w14:textId="3143CCF8" w:rsidR="00CB575E" w:rsidRPr="009201C0" w:rsidRDefault="00CB575E" w:rsidP="002E5F2B">
      <w:pPr>
        <w:pStyle w:val="Paragraphe-CGPC"/>
      </w:pPr>
      <w:r w:rsidRPr="009201C0">
        <w:t xml:space="preserve">Prélèvement de 75 % pour les produits payés dans un </w:t>
      </w:r>
      <w:r w:rsidR="00E71E9F" w:rsidRPr="009201C0">
        <w:t>États</w:t>
      </w:r>
      <w:r w:rsidRPr="009201C0">
        <w:t xml:space="preserve"> ou territoires « non coopératifs »  (ETNC) ;</w:t>
      </w:r>
    </w:p>
    <w:p w14:paraId="019A1927" w14:textId="77777777" w:rsidR="00CB575E" w:rsidRPr="009201C0" w:rsidRDefault="00CB575E" w:rsidP="002E5F2B">
      <w:pPr>
        <w:pStyle w:val="Paragraphe-CGPC"/>
      </w:pPr>
      <w:r w:rsidRPr="009201C0">
        <w:t>Prélèvement de 60 % sur les produits des bons et contrats anonymes.</w:t>
      </w:r>
    </w:p>
    <w:p w14:paraId="0FC39CFA" w14:textId="77777777" w:rsidR="00CB575E" w:rsidRPr="009201C0" w:rsidRDefault="00CB575E" w:rsidP="002E5F2B">
      <w:pPr>
        <w:pStyle w:val="Paragraphe-CGPC"/>
      </w:pPr>
      <w:r w:rsidRPr="009201C0">
        <w:t> </w:t>
      </w:r>
    </w:p>
    <w:p w14:paraId="5E69D1F3" w14:textId="77777777" w:rsidR="00CB575E" w:rsidRPr="009201C0" w:rsidRDefault="00CB575E" w:rsidP="002E5F2B">
      <w:pPr>
        <w:pStyle w:val="Paragraphe-CGPC"/>
      </w:pPr>
      <w:r w:rsidRPr="009201C0">
        <w:rPr>
          <w:rStyle w:val="Accentuation"/>
          <w:u w:val="single"/>
        </w:rPr>
        <w:t>Prélèvements sociaux</w:t>
      </w:r>
    </w:p>
    <w:p w14:paraId="1CA84649" w14:textId="77777777" w:rsidR="00CB575E" w:rsidRPr="00E71E9F" w:rsidRDefault="00CB575E" w:rsidP="002E5F2B">
      <w:pPr>
        <w:pStyle w:val="Paragraphe-CGPC"/>
      </w:pPr>
      <w:r w:rsidRPr="00E71E9F">
        <w:t>Les prélèvements sociaux sont </w:t>
      </w:r>
      <w:r w:rsidRPr="00E71E9F">
        <w:rPr>
          <w:rStyle w:val="lev"/>
          <w:b w:val="0"/>
          <w:bCs/>
        </w:rPr>
        <w:t>précomptés par l’établissement payeur dès le versement des dividendes </w:t>
      </w:r>
      <w:r w:rsidRPr="00E71E9F">
        <w:t>et sur tous les produits de placement à revenu fixe, notamment les revenus d’obligations pour les personnes physiques fiscalement domiciliées en France, et ce quelle que soit la localisation de l’établissement payeur.</w:t>
      </w:r>
    </w:p>
    <w:p w14:paraId="7E9D28FF" w14:textId="6541159C" w:rsidR="00CB575E" w:rsidRPr="00E71E9F" w:rsidRDefault="00CB575E" w:rsidP="002E5F2B">
      <w:pPr>
        <w:pStyle w:val="Paragraphe-CGPC"/>
      </w:pPr>
      <w:r w:rsidRPr="00B85C1A">
        <w:t>Depuis le 1er janvier 2018</w:t>
      </w:r>
      <w:r w:rsidRPr="00E71E9F">
        <w:t>, les prélèvements sociaux s’appliquent au taux de </w:t>
      </w:r>
      <w:r w:rsidRPr="00BF2476">
        <w:t>17,2 %</w:t>
      </w:r>
      <w:r w:rsidRPr="00E71E9F">
        <w:rPr>
          <w:rStyle w:val="lev"/>
          <w:b w:val="0"/>
          <w:bCs/>
        </w:rPr>
        <w:t>sur le montant brut des revenus</w:t>
      </w:r>
      <w:r w:rsidRPr="00E71E9F">
        <w:t>, la CSG est déductible du revenu global à hauteur de </w:t>
      </w:r>
      <w:r w:rsidRPr="00E71E9F">
        <w:rPr>
          <w:rStyle w:val="lev"/>
          <w:b w:val="0"/>
          <w:bCs/>
        </w:rPr>
        <w:t>6,8 %.</w:t>
      </w:r>
    </w:p>
    <w:p w14:paraId="6E3AAD9A" w14:textId="77777777" w:rsidR="00CB575E" w:rsidRPr="00E71E9F" w:rsidRDefault="00CB575E" w:rsidP="002E5F2B">
      <w:pPr>
        <w:pStyle w:val="Paragraphe-CGPC"/>
      </w:pPr>
      <w:r w:rsidRPr="00E71E9F">
        <w:t>Il est important de noter que la CSG déductible n’est applicable que si les Revenus de Capitaux Mobiliers (RCM) ont été soumis de droit ou sur option au barème progressif de l’impôt. La CSG n’est jamais déductible si le revenu ou la plus-value a subi un taux forfaitaire.</w:t>
      </w:r>
    </w:p>
    <w:p w14:paraId="5C22ED99" w14:textId="77777777" w:rsidR="00CB575E" w:rsidRPr="00E71E9F" w:rsidRDefault="00CB575E" w:rsidP="002E5F2B">
      <w:pPr>
        <w:pStyle w:val="Paragraphe-CGPC"/>
      </w:pPr>
      <w:r w:rsidRPr="00E71E9F">
        <w:t>Dérogation au prélèvement à la source pour les dividendes</w:t>
      </w:r>
    </w:p>
    <w:p w14:paraId="4301DBC7" w14:textId="77777777" w:rsidR="00CB575E" w:rsidRPr="00E71E9F" w:rsidRDefault="00CB575E" w:rsidP="002E5F2B">
      <w:pPr>
        <w:pStyle w:val="Paragraphe-CGPC"/>
      </w:pPr>
      <w:r w:rsidRPr="00E71E9F">
        <w:lastRenderedPageBreak/>
        <w:t>Les personnes physiques appartenant à un foyer fiscal dont le </w:t>
      </w:r>
      <w:r w:rsidRPr="00E71E9F">
        <w:rPr>
          <w:rStyle w:val="lev"/>
          <w:b w:val="0"/>
          <w:bCs/>
        </w:rPr>
        <w:t>revenu fiscal de référence</w:t>
      </w:r>
      <w:r w:rsidRPr="00E71E9F">
        <w:t> de l’avant-dernière année est inférieur à 50 000 euros (contribuable célibataires, veufs, ou divorcés) ou 75 000 euros (contribuable mariés soumis à imposition commune) peuvent demander à être dispensés du versement de ce prélèvement.</w:t>
      </w:r>
    </w:p>
    <w:p w14:paraId="395928ED" w14:textId="77777777" w:rsidR="00CB575E" w:rsidRPr="00E71E9F" w:rsidRDefault="00CB575E" w:rsidP="002E5F2B">
      <w:pPr>
        <w:pStyle w:val="Paragraphe-CGPC"/>
      </w:pPr>
      <w:r w:rsidRPr="00E71E9F">
        <w:t>Dérogation au prélèvement à la source pour les intérêts d’obligations</w:t>
      </w:r>
    </w:p>
    <w:p w14:paraId="2C83D873" w14:textId="77777777" w:rsidR="00CB575E" w:rsidRPr="00E71E9F" w:rsidRDefault="00CB575E" w:rsidP="002E5F2B">
      <w:pPr>
        <w:pStyle w:val="Paragraphe-CGPC"/>
      </w:pPr>
      <w:r w:rsidRPr="00E71E9F">
        <w:t>Les personnes physiques appartenant à un foyer fiscal dont le </w:t>
      </w:r>
      <w:r w:rsidRPr="00E71E9F">
        <w:rPr>
          <w:rStyle w:val="lev"/>
          <w:b w:val="0"/>
          <w:bCs/>
        </w:rPr>
        <w:t>revenu fiscal de référence</w:t>
      </w:r>
      <w:r w:rsidRPr="00E71E9F">
        <w:t> de l’avant-dernière année est inférieur à 25 000 euros (contribuable célibataires, veufs, ou divorcés) ou 50 000 euros (contribuable mariés soumis à imposition commune) peuvent demander à être dispensés du versement de ce prélèvement.</w:t>
      </w:r>
    </w:p>
    <w:p w14:paraId="59139123" w14:textId="77777777" w:rsidR="00CB575E" w:rsidRPr="00E71E9F" w:rsidRDefault="00CB575E" w:rsidP="002E5F2B">
      <w:pPr>
        <w:pStyle w:val="Paragraphe-CGPC"/>
      </w:pPr>
      <w:r w:rsidRPr="00E71E9F">
        <w:t>La demande de dispense de prélèvement doit être faite </w:t>
      </w:r>
      <w:r w:rsidRPr="00E71E9F">
        <w:rPr>
          <w:rStyle w:val="lev"/>
          <w:b w:val="0"/>
          <w:bCs/>
        </w:rPr>
        <w:t>avant le 30 novembre</w:t>
      </w:r>
      <w:r w:rsidRPr="00E71E9F">
        <w:t> de l’année </w:t>
      </w:r>
      <w:r w:rsidRPr="00E71E9F">
        <w:rPr>
          <w:rStyle w:val="lev"/>
          <w:b w:val="0"/>
          <w:bCs/>
        </w:rPr>
        <w:t>précédant</w:t>
      </w:r>
      <w:r w:rsidRPr="00E71E9F">
        <w:t> celle du paiement, auprès des personnes qui en assurent le paiement, en </w:t>
      </w:r>
      <w:r w:rsidRPr="00E71E9F">
        <w:rPr>
          <w:rStyle w:val="lev"/>
          <w:b w:val="0"/>
          <w:bCs/>
        </w:rPr>
        <w:t>attestant</w:t>
      </w:r>
      <w:r w:rsidRPr="00E71E9F">
        <w:t> </w:t>
      </w:r>
      <w:r w:rsidRPr="00E71E9F">
        <w:rPr>
          <w:rStyle w:val="lev"/>
          <w:b w:val="0"/>
          <w:bCs/>
        </w:rPr>
        <w:t>sur l’honneur</w:t>
      </w:r>
      <w:r w:rsidRPr="00E71E9F">
        <w:t> que leur revenu fiscal de référence est bien inférieur aux seuils fixés.</w:t>
      </w:r>
    </w:p>
    <w:p w14:paraId="5EB3D1FE" w14:textId="77777777" w:rsidR="00CB575E" w:rsidRPr="00E71E9F" w:rsidRDefault="00CB575E" w:rsidP="002E5F2B">
      <w:pPr>
        <w:pStyle w:val="Paragraphe-CGPC"/>
      </w:pPr>
      <w:r w:rsidRPr="00E71E9F">
        <w:t>Les personnes assurant le paiement doivent pouvoir produire l’attestation sur l’honneur, sur demande de l’administration, sous peine d’une amende de </w:t>
      </w:r>
      <w:r w:rsidRPr="00E71E9F">
        <w:rPr>
          <w:rStyle w:val="lev"/>
          <w:b w:val="0"/>
          <w:bCs/>
        </w:rPr>
        <w:t>150 euros</w:t>
      </w:r>
      <w:r w:rsidRPr="00E71E9F">
        <w:t>.</w:t>
      </w:r>
    </w:p>
    <w:p w14:paraId="338BD4CA" w14:textId="77777777" w:rsidR="00CB575E" w:rsidRPr="00E71E9F" w:rsidRDefault="00CB575E" w:rsidP="002E5F2B">
      <w:pPr>
        <w:pStyle w:val="Paragraphe-CGPC"/>
      </w:pPr>
      <w:r w:rsidRPr="00E71E9F">
        <w:t>La présentation d’une attestation ne remplissant pas les conditions exigées entraîne l’application d’une amende de </w:t>
      </w:r>
      <w:r w:rsidRPr="00E71E9F">
        <w:rPr>
          <w:rStyle w:val="lev"/>
          <w:b w:val="0"/>
          <w:bCs/>
        </w:rPr>
        <w:t>10 % du montant des prélèvements </w:t>
      </w:r>
      <w:r w:rsidRPr="00E71E9F">
        <w:t>ayant fait l’objet de la demande de dispense.</w:t>
      </w:r>
    </w:p>
    <w:p w14:paraId="166F2938" w14:textId="77777777" w:rsidR="00CB575E" w:rsidRPr="00E71E9F" w:rsidRDefault="00CB575E" w:rsidP="002E5F2B">
      <w:pPr>
        <w:pStyle w:val="Paragraphe-CGPC"/>
      </w:pPr>
      <w:r w:rsidRPr="00E71E9F">
        <w:rPr>
          <w:rStyle w:val="lev"/>
          <w:b w:val="0"/>
          <w:bCs/>
        </w:rPr>
        <w:t>Transmission des informations</w:t>
      </w:r>
    </w:p>
    <w:p w14:paraId="418D0908" w14:textId="77777777" w:rsidR="00CB575E" w:rsidRPr="00E71E9F" w:rsidRDefault="00CB575E" w:rsidP="002E5F2B">
      <w:pPr>
        <w:pStyle w:val="Paragraphe-CGPC"/>
      </w:pPr>
      <w:r w:rsidRPr="00E71E9F">
        <w:t>Les intermédiaires financiers adressent chaque année à l’administration </w:t>
      </w:r>
      <w:r w:rsidRPr="00E71E9F">
        <w:rPr>
          <w:rStyle w:val="lev"/>
          <w:b w:val="0"/>
          <w:bCs/>
        </w:rPr>
        <w:t>un relevé </w:t>
      </w:r>
      <w:r w:rsidRPr="00E71E9F">
        <w:t>précisant le montant imposable des produits financiers (dividendes et/ou revenus d’obligations) ainsi que le montant des revenus financiers (dividendes et/ou revenus d’obligations) déjà soumis au prélèvement forfaitaire libératoire (Imprimé Fiscal Unique : IFU).</w:t>
      </w:r>
    </w:p>
    <w:p w14:paraId="5AA060E1" w14:textId="77777777" w:rsidR="00CB575E" w:rsidRPr="00E71E9F" w:rsidRDefault="00CB575E" w:rsidP="002E5F2B">
      <w:pPr>
        <w:pStyle w:val="Paragraphe-CGPC"/>
      </w:pPr>
      <w:r w:rsidRPr="00E71E9F">
        <w:t>Le contribuable en reçoit un double lui permettant de remplir sa déclaration de revenus le cas échéant.</w:t>
      </w:r>
    </w:p>
    <w:p w14:paraId="386DCF70" w14:textId="3C864669" w:rsidR="00864F47" w:rsidRPr="00864F47" w:rsidRDefault="00CB575E" w:rsidP="002E5F2B">
      <w:pPr>
        <w:pStyle w:val="Paragraphe-CGPC"/>
      </w:pPr>
      <w:r w:rsidRPr="00E71E9F">
        <w:t>Les institutions financières doivent également déposer une déclaration spécifique pour les informations fiscales concernées</w:t>
      </w:r>
      <w:r w:rsidRPr="009201C0">
        <w:t xml:space="preserve"> par l’échange automatique d’informations à l’international, dans des conditions qui seront définies par </w:t>
      </w:r>
      <w:proofErr w:type="spellStart"/>
      <w:r w:rsidRPr="009201C0">
        <w:t>décret.</w:t>
      </w:r>
      <w:r w:rsidR="00552BDB">
        <w:t>NB</w:t>
      </w:r>
      <w:proofErr w:type="spellEnd"/>
      <w:r w:rsidR="00552BDB">
        <w:t> : Le</w:t>
      </w:r>
      <w:r w:rsidR="00481E16">
        <w:t>s</w:t>
      </w:r>
      <w:r w:rsidR="00552BDB">
        <w:t xml:space="preserve"> </w:t>
      </w:r>
      <w:r w:rsidR="00182E1A">
        <w:t xml:space="preserve">prélèvements </w:t>
      </w:r>
      <w:r w:rsidR="00D82210">
        <w:t>sociaux sur</w:t>
      </w:r>
      <w:r w:rsidR="00567F05">
        <w:t xml:space="preserve"> les revenus de placements perçus en 2026 </w:t>
      </w:r>
      <w:r w:rsidR="00481E16">
        <w:t xml:space="preserve">seront soumis au taux de </w:t>
      </w:r>
      <w:r w:rsidR="00864F47">
        <w:t>18.6</w:t>
      </w:r>
      <w:r w:rsidR="0061726E">
        <w:t>%.</w:t>
      </w:r>
      <w:r w:rsidR="00864F47">
        <w:t xml:space="preserve"> </w:t>
      </w:r>
      <w:r w:rsidR="00864F47" w:rsidRPr="00864F47">
        <w:t>Voté dans le cadre de la loi de financement de la sécurité sociale pour 2026, le taux de la </w:t>
      </w:r>
      <w:r w:rsidR="00864F47" w:rsidRPr="002E5F2B">
        <w:t>Contribution sociale généralisée</w:t>
      </w:r>
      <w:r w:rsidR="00864F47" w:rsidRPr="00864F47">
        <w:t> (CSG) passe de 9,2 % à 10,6 %.</w:t>
      </w:r>
    </w:p>
    <w:p w14:paraId="161F4CC1" w14:textId="0647F4B4" w:rsidR="00CB575E" w:rsidRPr="009201C0" w:rsidRDefault="00CB575E" w:rsidP="00BF2476">
      <w:pPr>
        <w:pStyle w:val="Paragraphe-CGPC"/>
      </w:pPr>
    </w:p>
    <w:p w14:paraId="49D0554A" w14:textId="6A6A56FB" w:rsidR="00CB575E" w:rsidRPr="009201C0" w:rsidRDefault="00CB575E" w:rsidP="002E5F2B">
      <w:pPr>
        <w:pStyle w:val="Titre3"/>
      </w:pPr>
      <w:bookmarkStart w:id="56" w:name="_Toc207183031"/>
      <w:bookmarkStart w:id="57" w:name="_Toc233204947"/>
      <w:r w:rsidRPr="009201C0">
        <w:lastRenderedPageBreak/>
        <w:t>Valeurs mobilières : la fiscalité des revenus de source étrangère et des OPCVM/FIA</w:t>
      </w:r>
      <w:bookmarkEnd w:id="56"/>
      <w:bookmarkEnd w:id="57"/>
      <w:r w:rsidRPr="009201C0">
        <w:t> </w:t>
      </w:r>
    </w:p>
    <w:p w14:paraId="5864D52B" w14:textId="1C59FBF6" w:rsidR="00CB575E" w:rsidRPr="009201C0" w:rsidRDefault="00CB575E" w:rsidP="002E5F2B">
      <w:pPr>
        <w:pStyle w:val="Titre4"/>
        <w:numPr>
          <w:ilvl w:val="0"/>
          <w:numId w:val="33"/>
        </w:numPr>
      </w:pPr>
      <w:r w:rsidRPr="009201C0">
        <w:t>Fiscalité des revenus des actions étrangères de source Européenne (Espace économique Européen)</w:t>
      </w:r>
    </w:p>
    <w:p w14:paraId="2F52B1EE" w14:textId="77777777" w:rsidR="00CB575E" w:rsidRPr="009201C0" w:rsidRDefault="00CB575E" w:rsidP="002E5F2B">
      <w:pPr>
        <w:pStyle w:val="Paragraphe-CGPC"/>
      </w:pPr>
      <w:r w:rsidRPr="009201C0">
        <w:t>Les revenus sont imposables à l’IR comme les actions françaises.</w:t>
      </w:r>
    </w:p>
    <w:p w14:paraId="1280D31A" w14:textId="77777777" w:rsidR="00CB575E" w:rsidRPr="009201C0" w:rsidRDefault="00CB575E" w:rsidP="002E5F2B">
      <w:pPr>
        <w:pStyle w:val="Paragraphe-CGPC"/>
      </w:pPr>
      <w:r w:rsidRPr="009201C0">
        <w:t>Quel que soit le régime fiscal (PFU ou barème), les personnes physiques paient un prélèvement à la source de 12,8 % (2018) du montant brut de ces revenus, dont le montant vient s’imputer sur le montant d’impôt sur le revenu dû au titre de l’année au cours de laquelle il a été opéré.</w:t>
      </w:r>
    </w:p>
    <w:p w14:paraId="732F458A" w14:textId="77777777" w:rsidR="00CB575E" w:rsidRPr="009201C0" w:rsidRDefault="00CB575E" w:rsidP="002E5F2B">
      <w:pPr>
        <w:pStyle w:val="Paragraphe-CGPC"/>
      </w:pPr>
      <w:r w:rsidRPr="009201C0">
        <w:t>Le prélèvement est calculé sur le montant brut des revenus d’actions.</w:t>
      </w:r>
    </w:p>
    <w:p w14:paraId="778BA8B4" w14:textId="77777777" w:rsidR="00CB575E" w:rsidRPr="009201C0" w:rsidRDefault="00CB575E" w:rsidP="002E5F2B">
      <w:pPr>
        <w:pStyle w:val="Paragraphe-CGPC"/>
      </w:pPr>
      <w:r w:rsidRPr="009201C0">
        <w:t>Les revenus d’actions imposables à l’IR au barème progressif bénéficient d’un abattement de 40 %.</w:t>
      </w:r>
    </w:p>
    <w:p w14:paraId="43D3FF0C" w14:textId="77777777" w:rsidR="00CB575E" w:rsidRPr="009201C0" w:rsidRDefault="00CB575E" w:rsidP="002E5F2B">
      <w:pPr>
        <w:pStyle w:val="Paragraphe-CGPC"/>
      </w:pPr>
      <w:r w:rsidRPr="009201C0">
        <w:t>Les prélèvements sociaux sont précomptés par l’établissement payeur, quel que soit son lieu d’établissement, dès le versement des revenus d’actions pour les personnes physiques fiscalement domiciliées en France.</w:t>
      </w:r>
    </w:p>
    <w:p w14:paraId="36EC3A5D" w14:textId="0110CEBF" w:rsidR="00CB575E" w:rsidRPr="00BF2476" w:rsidRDefault="00CB575E" w:rsidP="002E5F2B">
      <w:pPr>
        <w:pStyle w:val="Paragraphe-CGPC"/>
        <w:rPr>
          <w:strike/>
          <w:color w:val="EE0000"/>
        </w:rPr>
      </w:pPr>
      <w:r w:rsidRPr="009201C0">
        <w:t>Les prélèvements sociaux s’appliquent au taux de </w:t>
      </w:r>
      <w:r w:rsidRPr="0078578F">
        <w:t>17,2 % depuis le premier janvier 2018.</w:t>
      </w:r>
    </w:p>
    <w:p w14:paraId="1F87D4CF" w14:textId="77777777" w:rsidR="00CB575E" w:rsidRPr="009201C0" w:rsidRDefault="00CB575E" w:rsidP="002E5F2B">
      <w:pPr>
        <w:pStyle w:val="Paragraphe-CGPC"/>
      </w:pPr>
      <w:r w:rsidRPr="009201C0">
        <w:t>La CSG reste déductible à hauteur de 6,8 % pour les revenus d’actions uniquement en cas d’option pour le barème de l’IR. Le surplus, soit 2,4 %, la CRDS de 0,5 % et le prélèvement de solidarité de 7,5 % ne sont pas déductibles.</w:t>
      </w:r>
    </w:p>
    <w:p w14:paraId="2DFD7973" w14:textId="77777777" w:rsidR="00CB575E" w:rsidRPr="009201C0" w:rsidRDefault="00CB575E" w:rsidP="002E5F2B">
      <w:pPr>
        <w:pStyle w:val="Paragraphe-CGPC"/>
      </w:pPr>
      <w:r w:rsidRPr="009201C0">
        <w:t> </w:t>
      </w:r>
    </w:p>
    <w:p w14:paraId="70290345" w14:textId="0CEC07D1" w:rsidR="00CB575E" w:rsidRPr="009201C0" w:rsidRDefault="00CB575E" w:rsidP="002E5F2B">
      <w:pPr>
        <w:pStyle w:val="Titre4"/>
      </w:pPr>
      <w:r w:rsidRPr="009201C0">
        <w:t>Fiscalité des revenus d’actions étrangères autres que ceux de source Européenne </w:t>
      </w:r>
    </w:p>
    <w:p w14:paraId="706F6DBE" w14:textId="197B0C59" w:rsidR="00CB575E" w:rsidRPr="009201C0" w:rsidRDefault="00CB575E" w:rsidP="002E5F2B">
      <w:pPr>
        <w:pStyle w:val="Paragraphe-CGPC"/>
      </w:pPr>
      <w:r w:rsidRPr="009201C0">
        <w:t xml:space="preserve">Les revenus d’actions de source étrangère sont également imposables à l’IR au barème progressif sur option. Ils bénéficient de </w:t>
      </w:r>
      <w:r w:rsidR="004830C0">
        <w:t xml:space="preserve">l’abattement </w:t>
      </w:r>
      <w:r w:rsidRPr="009201C0">
        <w:t>de 40 % si la société qui les distribue est soumise à un impôt équivalent à l’impôt sur les sociétés et est établie dans un État ayant conclu avec la France une convention d’assistance administrative.</w:t>
      </w:r>
    </w:p>
    <w:p w14:paraId="7DD1FFA4" w14:textId="77777777" w:rsidR="00CB575E" w:rsidRPr="009201C0" w:rsidRDefault="00CB575E" w:rsidP="002E5F2B">
      <w:pPr>
        <w:pStyle w:val="Paragraphe-CGPC"/>
      </w:pPr>
      <w:r w:rsidRPr="009201C0">
        <w:lastRenderedPageBreak/>
        <w:t>Lorsque l’établissement payeur est établi hors de France, les contribuables ne sont soumis au prélèvement obligatoire servant d’acompte à l’IR que si leur revenu fiscal de référence de l’avant dernière année est supérieur à 50 000 euros (célibataires, divorcés ou veufs) ou à 75 000 euros (contribuable soumis à imposition commune).</w:t>
      </w:r>
    </w:p>
    <w:p w14:paraId="7C492CE3" w14:textId="72223AFA" w:rsidR="00CB575E" w:rsidRPr="009201C0" w:rsidRDefault="00CB575E" w:rsidP="002E5F2B">
      <w:pPr>
        <w:pStyle w:val="Titre4"/>
      </w:pPr>
      <w:r w:rsidRPr="009201C0">
        <w:t>Fiscalité des revenus des obligations étrangères</w:t>
      </w:r>
    </w:p>
    <w:p w14:paraId="1E4BF97A" w14:textId="77777777" w:rsidR="00CB575E" w:rsidRPr="00BF2476" w:rsidRDefault="00CB575E" w:rsidP="00CB575E">
      <w:pPr>
        <w:pStyle w:val="NormalWeb"/>
        <w:spacing w:before="0" w:beforeAutospacing="0" w:after="0" w:afterAutospacing="0"/>
        <w:jc w:val="both"/>
        <w:textAlignment w:val="baseline"/>
        <w:rPr>
          <w:rFonts w:ascii="Open Sans" w:eastAsiaTheme="minorHAnsi" w:hAnsi="Open Sans" w:cs="Open Sans"/>
          <w:bCs/>
          <w:color w:val="000000" w:themeColor="text1"/>
          <w:kern w:val="2"/>
          <w:sz w:val="32"/>
          <w:lang w:eastAsia="en-US"/>
          <w14:ligatures w14:val="standardContextual"/>
        </w:rPr>
      </w:pPr>
      <w:r w:rsidRPr="00BF2476">
        <w:rPr>
          <w:rFonts w:ascii="Open Sans" w:eastAsiaTheme="minorHAnsi" w:hAnsi="Open Sans" w:cs="Open Sans"/>
          <w:bCs/>
          <w:color w:val="000000" w:themeColor="text1"/>
          <w:kern w:val="2"/>
          <w:sz w:val="32"/>
          <w:lang w:eastAsia="en-US"/>
          <w14:ligatures w14:val="standardContextual"/>
        </w:rPr>
        <w:t>Les personnes physiques paient un prélèvement à la source de </w:t>
      </w:r>
      <w:r w:rsidRPr="00BF2476">
        <w:rPr>
          <w:rFonts w:eastAsiaTheme="minorHAnsi"/>
          <w:color w:val="000000" w:themeColor="text1"/>
          <w:kern w:val="2"/>
          <w:sz w:val="32"/>
          <w:lang w:eastAsia="en-US"/>
          <w14:ligatures w14:val="standardContextual"/>
        </w:rPr>
        <w:t>12,8 % du montant brut de ces revenus</w:t>
      </w:r>
      <w:r w:rsidRPr="00BF2476">
        <w:rPr>
          <w:rFonts w:ascii="Open Sans" w:eastAsiaTheme="minorHAnsi" w:hAnsi="Open Sans" w:cs="Open Sans"/>
          <w:bCs/>
          <w:color w:val="000000" w:themeColor="text1"/>
          <w:kern w:val="2"/>
          <w:sz w:val="32"/>
          <w:lang w:eastAsia="en-US"/>
          <w14:ligatures w14:val="standardContextual"/>
        </w:rPr>
        <w:t>, dont le montant vient s’imputer sur le montant d’impôt sur le revenu dû au titre de l’année au cours de laquelle il a été opéré.</w:t>
      </w:r>
    </w:p>
    <w:p w14:paraId="63AE7E48" w14:textId="77777777" w:rsidR="00CB575E" w:rsidRPr="00BF2476" w:rsidRDefault="00CB575E" w:rsidP="00CB575E">
      <w:pPr>
        <w:pStyle w:val="NormalWeb"/>
        <w:spacing w:before="0" w:beforeAutospacing="0" w:after="0" w:afterAutospacing="0"/>
        <w:jc w:val="both"/>
        <w:textAlignment w:val="baseline"/>
        <w:rPr>
          <w:rFonts w:ascii="Open Sans" w:eastAsiaTheme="minorHAnsi" w:hAnsi="Open Sans" w:cs="Open Sans"/>
          <w:bCs/>
          <w:color w:val="000000" w:themeColor="text1"/>
          <w:kern w:val="2"/>
          <w:sz w:val="32"/>
          <w:lang w:eastAsia="en-US"/>
          <w14:ligatures w14:val="standardContextual"/>
        </w:rPr>
      </w:pPr>
      <w:r w:rsidRPr="00BF2476">
        <w:rPr>
          <w:rFonts w:ascii="Open Sans" w:eastAsiaTheme="minorHAnsi" w:hAnsi="Open Sans" w:cs="Open Sans"/>
          <w:bCs/>
          <w:color w:val="000000" w:themeColor="text1"/>
          <w:kern w:val="2"/>
          <w:sz w:val="32"/>
          <w:lang w:eastAsia="en-US"/>
          <w14:ligatures w14:val="standardContextual"/>
        </w:rPr>
        <w:t>Cependant, ces revenus ne sont soumis au prélèvement obligatoire à la source que si le revenu fiscal de référence de l’avant dernière année du contribuable qui les perçoit est supérieur à :</w:t>
      </w:r>
    </w:p>
    <w:p w14:paraId="382F7C81" w14:textId="77777777" w:rsidR="00CB575E" w:rsidRPr="00BF2476" w:rsidRDefault="00CB575E" w:rsidP="008178BC">
      <w:pPr>
        <w:numPr>
          <w:ilvl w:val="0"/>
          <w:numId w:val="3"/>
        </w:numPr>
        <w:spacing w:after="0" w:line="390" w:lineRule="atLeast"/>
        <w:textAlignment w:val="baseline"/>
        <w:rPr>
          <w:rFonts w:cs="Open Sans"/>
          <w:bCs/>
          <w:color w:val="000000" w:themeColor="text1"/>
          <w:kern w:val="2"/>
          <w:sz w:val="32"/>
          <w:szCs w:val="24"/>
          <w14:ligatures w14:val="standardContextual"/>
        </w:rPr>
      </w:pPr>
      <w:r w:rsidRPr="00BF2476">
        <w:rPr>
          <w:rFonts w:cs="Open Sans"/>
          <w:bCs/>
          <w:color w:val="000000" w:themeColor="text1"/>
          <w:kern w:val="2"/>
          <w:sz w:val="32"/>
          <w:szCs w:val="24"/>
          <w14:ligatures w14:val="standardContextual"/>
        </w:rPr>
        <w:t>25 000 euros pour les contribuables (célibataires, veufs ou divorcés) ;</w:t>
      </w:r>
    </w:p>
    <w:p w14:paraId="10C82D5E" w14:textId="77777777" w:rsidR="00CB575E" w:rsidRPr="00BF2476" w:rsidRDefault="00CB575E" w:rsidP="008178BC">
      <w:pPr>
        <w:numPr>
          <w:ilvl w:val="0"/>
          <w:numId w:val="3"/>
        </w:numPr>
        <w:spacing w:after="0" w:line="390" w:lineRule="atLeast"/>
        <w:textAlignment w:val="baseline"/>
        <w:rPr>
          <w:rFonts w:cs="Open Sans"/>
          <w:bCs/>
          <w:color w:val="000000" w:themeColor="text1"/>
          <w:kern w:val="2"/>
          <w:sz w:val="32"/>
          <w:szCs w:val="24"/>
          <w14:ligatures w14:val="standardContextual"/>
        </w:rPr>
      </w:pPr>
      <w:r w:rsidRPr="00BF2476">
        <w:rPr>
          <w:rFonts w:cs="Open Sans"/>
          <w:bCs/>
          <w:color w:val="000000" w:themeColor="text1"/>
          <w:kern w:val="2"/>
          <w:sz w:val="32"/>
          <w:szCs w:val="24"/>
          <w14:ligatures w14:val="standardContextual"/>
        </w:rPr>
        <w:t>50 000 euros pour les contribuables mariés ou pacsés soumis à imposition commune. </w:t>
      </w:r>
    </w:p>
    <w:p w14:paraId="6A813415" w14:textId="77777777" w:rsidR="00CB575E" w:rsidRPr="009201C0" w:rsidRDefault="00CB575E" w:rsidP="00CB575E">
      <w:pPr>
        <w:pStyle w:val="NormalWeb"/>
        <w:spacing w:before="0" w:beforeAutospacing="0" w:after="0" w:afterAutospacing="0"/>
        <w:jc w:val="both"/>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79B7E7A9" w14:textId="04BD8369" w:rsidR="00CB575E" w:rsidRPr="00DF0705" w:rsidRDefault="00CB575E" w:rsidP="002E5F2B">
      <w:pPr>
        <w:pStyle w:val="Titre4"/>
      </w:pPr>
      <w:r w:rsidRPr="00DF0705">
        <w:t>Imposition à l’IR au barème progressif</w:t>
      </w:r>
    </w:p>
    <w:p w14:paraId="1F3F3D07" w14:textId="77777777" w:rsidR="00CB575E" w:rsidRDefault="00CB575E" w:rsidP="002E5F2B">
      <w:pPr>
        <w:pStyle w:val="Paragraphe-CGPC"/>
      </w:pPr>
      <w:r w:rsidRPr="009201C0">
        <w:t>Les produits de placement à revenu fixe, dont les revenus d’obligations </w:t>
      </w:r>
      <w:r w:rsidRPr="00BF2476">
        <w:t>de source européenne</w:t>
      </w:r>
      <w:r w:rsidRPr="009201C0">
        <w:rPr>
          <w:rStyle w:val="lev"/>
          <w:sz w:val="21"/>
          <w:szCs w:val="21"/>
        </w:rPr>
        <w:t> </w:t>
      </w:r>
      <w:r w:rsidRPr="009201C0">
        <w:t>et de source étrangère, sont imposés à l’IR au barème progressif.</w:t>
      </w:r>
    </w:p>
    <w:p w14:paraId="5814E81E" w14:textId="77777777" w:rsidR="00CB575E" w:rsidRPr="009201C0" w:rsidRDefault="00CB575E" w:rsidP="002E5F2B">
      <w:pPr>
        <w:pStyle w:val="Paragraphe-CGPC"/>
      </w:pPr>
      <w:r w:rsidRPr="009201C0">
        <w:rPr>
          <w:rStyle w:val="Accentuation"/>
          <w:u w:val="single"/>
        </w:rPr>
        <w:t>Prélèvements sociaux</w:t>
      </w:r>
    </w:p>
    <w:p w14:paraId="3519B80B" w14:textId="5B5273C0" w:rsidR="00CB575E" w:rsidRDefault="00CB575E" w:rsidP="002E5F2B">
      <w:pPr>
        <w:pStyle w:val="Paragraphe-CGPC"/>
      </w:pPr>
      <w:r w:rsidRPr="009201C0">
        <w:t>Les prélèvements sociaux sur tous les produits de placement à revenu fixe s’appliquent au taux de </w:t>
      </w:r>
      <w:r w:rsidRPr="00BF2476">
        <w:t>17,2 %</w:t>
      </w:r>
      <w:r w:rsidRPr="009201C0">
        <w:t> depuis le 1</w:t>
      </w:r>
      <w:r w:rsidRPr="009201C0">
        <w:rPr>
          <w:bdr w:val="none" w:sz="0" w:space="0" w:color="auto" w:frame="1"/>
          <w:vertAlign w:val="superscript"/>
        </w:rPr>
        <w:t>er</w:t>
      </w:r>
      <w:r w:rsidRPr="009201C0">
        <w:t> janvier 2018, pour les personnes physiques fiscalement domiciliées en France. Ils sont précomptés par le payeur, que celui-ci soit établi en France ou hors de France.</w:t>
      </w:r>
      <w:r w:rsidR="007A5EF3">
        <w:t xml:space="preserve"> </w:t>
      </w:r>
    </w:p>
    <w:p w14:paraId="2BCB2D49" w14:textId="59CFB70F" w:rsidR="007A5EF3" w:rsidRPr="009201C0" w:rsidRDefault="00F02E8D" w:rsidP="002E5F2B">
      <w:pPr>
        <w:pStyle w:val="Paragraphe-CGPC"/>
      </w:pPr>
      <w:r>
        <w:t>Rappel :</w:t>
      </w:r>
      <w:r w:rsidR="00C71891">
        <w:t>Le taux des prélèvements sociaux passe de 172% à 18.6% pour les reven</w:t>
      </w:r>
      <w:r>
        <w:t>u</w:t>
      </w:r>
      <w:r w:rsidR="00C71891">
        <w:t>s per</w:t>
      </w:r>
      <w:r>
        <w:t>çus en 2026</w:t>
      </w:r>
    </w:p>
    <w:p w14:paraId="36B63C1D" w14:textId="77777777" w:rsidR="00CB575E" w:rsidRPr="00E71E9F" w:rsidRDefault="00CB575E" w:rsidP="002E5F2B">
      <w:pPr>
        <w:pStyle w:val="Paragraphe-CGPC"/>
      </w:pPr>
      <w:r w:rsidRPr="00E71E9F">
        <w:t>La CSG est déductible à hauteur de 6,8 % si les produits obligataires sont taxés au barème progressif de l’impôt sur le revenu.</w:t>
      </w:r>
    </w:p>
    <w:p w14:paraId="082CEE45" w14:textId="27C95320" w:rsidR="00CB575E" w:rsidRPr="00E71E9F" w:rsidRDefault="00CB575E" w:rsidP="002E5F2B">
      <w:pPr>
        <w:pStyle w:val="Paragraphe-CGPC"/>
      </w:pPr>
      <w:r w:rsidRPr="00E71E9F">
        <w:rPr>
          <w:rStyle w:val="Accentuation"/>
          <w:b/>
          <w:bCs w:val="0"/>
          <w:i w:val="0"/>
          <w:iCs w:val="0"/>
          <w:u w:val="single"/>
        </w:rPr>
        <w:t>À noter :</w:t>
      </w:r>
      <w:r w:rsidRPr="00E71E9F">
        <w:t> la plupart des conventions fiscales internationales prévoient un crédit d’impôt, imputable sur l’impôt français, correspondant à l’impôt étranger perçu sur ces revenus de valeurs mobilières.</w:t>
      </w:r>
    </w:p>
    <w:p w14:paraId="3EBD765A" w14:textId="7186B48F" w:rsidR="00CB575E" w:rsidRPr="00E71E9F" w:rsidRDefault="00CB575E" w:rsidP="002E5F2B">
      <w:pPr>
        <w:pStyle w:val="Paragraphe-CGPC"/>
      </w:pPr>
      <w:r w:rsidRPr="00E71E9F">
        <w:rPr>
          <w:rStyle w:val="Accentuation"/>
          <w:b/>
          <w:bCs w:val="0"/>
          <w:i w:val="0"/>
          <w:iCs w:val="0"/>
          <w:u w:val="single"/>
        </w:rPr>
        <w:t>À noter :</w:t>
      </w:r>
      <w:r w:rsidRPr="00E71E9F">
        <w:t> lorsque l’établissement payeur n’est pas établi en France, la </w:t>
      </w:r>
      <w:r w:rsidRPr="00E71E9F">
        <w:rPr>
          <w:rStyle w:val="lev"/>
          <w:b w:val="0"/>
          <w:bCs/>
        </w:rPr>
        <w:t>déclaration et le paiement</w:t>
      </w:r>
      <w:r w:rsidRPr="00E71E9F">
        <w:t> de l’</w:t>
      </w:r>
      <w:r w:rsidRPr="00E71E9F">
        <w:rPr>
          <w:rStyle w:val="lev"/>
          <w:b w:val="0"/>
          <w:bCs/>
        </w:rPr>
        <w:t>acompte </w:t>
      </w:r>
      <w:r w:rsidRPr="00E71E9F">
        <w:t>d’impôt sur le revenu, de 12,8 %, et des </w:t>
      </w:r>
      <w:r w:rsidRPr="00E71E9F">
        <w:rPr>
          <w:rStyle w:val="lev"/>
          <w:b w:val="0"/>
          <w:bCs/>
        </w:rPr>
        <w:t>prélèvements sociaux</w:t>
      </w:r>
      <w:r w:rsidRPr="00E71E9F">
        <w:t>, peuvent incomber au contribuable lui-même.</w:t>
      </w:r>
    </w:p>
    <w:p w14:paraId="09D1D7E2" w14:textId="66A765E3" w:rsidR="00CB575E" w:rsidRPr="00E71E9F" w:rsidRDefault="00CB575E" w:rsidP="002E5F2B">
      <w:pPr>
        <w:pStyle w:val="Paragraphe-CGPC"/>
      </w:pPr>
      <w:r w:rsidRPr="00E71E9F">
        <w:rPr>
          <w:rStyle w:val="lev"/>
          <w:b w:val="0"/>
          <w:bCs/>
        </w:rPr>
        <w:lastRenderedPageBreak/>
        <w:t> </w:t>
      </w:r>
      <w:r w:rsidRPr="00E71E9F">
        <w:rPr>
          <w:rStyle w:val="Accentuation"/>
          <w:b/>
          <w:bCs w:val="0"/>
          <w:i w:val="0"/>
          <w:iCs w:val="0"/>
          <w:u w:val="single"/>
        </w:rPr>
        <w:t>Attention :</w:t>
      </w:r>
      <w:r w:rsidRPr="00E71E9F">
        <w:t> les résidents français non affiliés à la sécurité sociale en France ne sont pas soumis aux prélèvements sociaux sur leurs revenus du patrimoine de source étrangère, quelle que soit leur nature, ces prélèvements finançant les régimes obligatoires français de sécurité sociale. Ils demeurent en revanche soumis au prélèvement de solidarité de 7,5% dont le produit est affecté à l’</w:t>
      </w:r>
      <w:r w:rsidR="00E71E9F" w:rsidRPr="00E71E9F">
        <w:t>État</w:t>
      </w:r>
      <w:r w:rsidRPr="00E71E9F">
        <w:t>.</w:t>
      </w:r>
    </w:p>
    <w:p w14:paraId="418EED47" w14:textId="77777777" w:rsidR="001F5988" w:rsidRPr="00E71E9F" w:rsidRDefault="001F5988" w:rsidP="002E5F2B">
      <w:pPr>
        <w:pStyle w:val="Paragraphe-CGPC"/>
      </w:pPr>
    </w:p>
    <w:p w14:paraId="5253BABD" w14:textId="7EF83568" w:rsidR="00CB575E" w:rsidRPr="009201C0" w:rsidRDefault="00CB575E" w:rsidP="002E5F2B">
      <w:pPr>
        <w:pStyle w:val="Titre2"/>
      </w:pPr>
      <w:bookmarkStart w:id="58" w:name="_Toc202191574"/>
      <w:bookmarkStart w:id="59" w:name="_Toc207183032"/>
      <w:bookmarkStart w:id="60" w:name="_Toc233204948"/>
      <w:r w:rsidRPr="009201C0">
        <w:t>Les bénéfices industriels et commerciaux (BIC)</w:t>
      </w:r>
      <w:bookmarkEnd w:id="58"/>
      <w:bookmarkEnd w:id="59"/>
      <w:bookmarkEnd w:id="60"/>
      <w:r w:rsidRPr="009201C0">
        <w:t> </w:t>
      </w:r>
    </w:p>
    <w:p w14:paraId="712FC2FE" w14:textId="77777777" w:rsidR="00CB575E" w:rsidRPr="00E71E9F" w:rsidRDefault="00CB575E" w:rsidP="002E5F2B">
      <w:pPr>
        <w:pStyle w:val="Paragraphe-CGPC"/>
      </w:pPr>
      <w:r w:rsidRPr="00E71E9F">
        <w:t>Sont considérés comme bénéfices industriels et commerciaux, les bénéfices réalisés par des personnes physiques et provenant de l’exercice d’une profession commerciale, industrielle ou artisanale.</w:t>
      </w:r>
    </w:p>
    <w:p w14:paraId="50587E69" w14:textId="77777777" w:rsidR="00CB575E" w:rsidRPr="00E71E9F" w:rsidRDefault="00CB575E" w:rsidP="002E5F2B">
      <w:pPr>
        <w:pStyle w:val="Paragraphe-CGPC"/>
      </w:pPr>
      <w:r w:rsidRPr="00E71E9F">
        <w:t>Le bénéfice imposable est égal à la différence entre d’une part les profits bruts, c’est-à-dire le bénéfice brut d’exploitation, les plus-values et les profits divers, et d’autre part les charges de l’entreprise.</w:t>
      </w:r>
    </w:p>
    <w:p w14:paraId="6DF670F6" w14:textId="77777777" w:rsidR="00CB575E" w:rsidRPr="00E71E9F" w:rsidRDefault="00CB575E" w:rsidP="002E5F2B">
      <w:pPr>
        <w:pStyle w:val="Paragraphe-CGPC"/>
      </w:pPr>
      <w:r w:rsidRPr="00E71E9F">
        <w:t>Il existe </w:t>
      </w:r>
      <w:r w:rsidRPr="00E71E9F">
        <w:rPr>
          <w:rStyle w:val="lev"/>
          <w:b w:val="0"/>
          <w:bCs/>
        </w:rPr>
        <w:t>deux modes de détermination du bénéfice imposable :</w:t>
      </w:r>
    </w:p>
    <w:p w14:paraId="22588002" w14:textId="77777777" w:rsidR="00CB575E" w:rsidRPr="00E71E9F" w:rsidRDefault="00CB575E" w:rsidP="002E5F2B">
      <w:pPr>
        <w:pStyle w:val="Paragraphe-CGPC"/>
      </w:pPr>
      <w:r w:rsidRPr="00E71E9F">
        <w:t>L’un est appliqué aux entreprises d’une certaine importance, et sur option aux petites entreprises qui sont en mesure de satisfaire aux mêmes obligations comptables que les grandes : c’est le régime du </w:t>
      </w:r>
      <w:r w:rsidRPr="00E71E9F">
        <w:rPr>
          <w:rStyle w:val="lev"/>
          <w:b w:val="0"/>
          <w:bCs/>
        </w:rPr>
        <w:t>bénéfice réel </w:t>
      </w:r>
      <w:r w:rsidRPr="00E71E9F">
        <w:t>qui comprend le régime du bénéfice réel normal et le régime du bénéfice réel simplifié.</w:t>
      </w:r>
      <w:r w:rsidRPr="00E71E9F">
        <w:br/>
        <w:t>Ces régimes ont les mêmes règles de détermination de l’assiette de l’impôt. Ils différent par des obligations comptables plus ou moins allégées ;</w:t>
      </w:r>
    </w:p>
    <w:p w14:paraId="3833A345" w14:textId="77777777" w:rsidR="00CB575E" w:rsidRPr="00E71E9F" w:rsidRDefault="00CB575E" w:rsidP="002E5F2B">
      <w:pPr>
        <w:pStyle w:val="Paragraphe-CGPC"/>
      </w:pPr>
      <w:r w:rsidRPr="00E71E9F">
        <w:t>L’autre est réservé aux plus petites entreprises : c’est le régime </w:t>
      </w:r>
      <w:r w:rsidRPr="00E71E9F">
        <w:rPr>
          <w:rStyle w:val="lev"/>
          <w:b w:val="0"/>
          <w:bCs/>
        </w:rPr>
        <w:t>micro-BIC</w:t>
      </w:r>
      <w:r w:rsidRPr="00E71E9F">
        <w:t>, qui détermine le bénéfice à partir d’un taux forfaitaire d’abattement.</w:t>
      </w:r>
    </w:p>
    <w:p w14:paraId="300B600A" w14:textId="77777777" w:rsidR="00CB575E" w:rsidRPr="00E71E9F" w:rsidRDefault="00CB575E" w:rsidP="002E5F2B">
      <w:pPr>
        <w:pStyle w:val="Paragraphe-CGPC"/>
      </w:pPr>
      <w:r w:rsidRPr="00E71E9F">
        <w:t>Les résultats imposables (bénéfice ou déficit) sont pris en compte avec les autres revenus du contribuable ou de sa famille pour le calcul de l’IR (sauf si ce sont des déficits non commerciaux accessoires).</w:t>
      </w:r>
    </w:p>
    <w:p w14:paraId="3F702E88" w14:textId="77777777" w:rsidR="00CB575E" w:rsidRPr="009201C0" w:rsidRDefault="00CB575E" w:rsidP="002E5F2B">
      <w:pPr>
        <w:pStyle w:val="Paragraphe-CGPC"/>
      </w:pPr>
      <w:r w:rsidRPr="009201C0">
        <w:t> </w:t>
      </w:r>
    </w:p>
    <w:p w14:paraId="4DB5FB83" w14:textId="390B369A" w:rsidR="00CB575E" w:rsidRPr="009201C0" w:rsidRDefault="00CB575E" w:rsidP="002E5F2B">
      <w:pPr>
        <w:pStyle w:val="Titre2"/>
      </w:pPr>
      <w:bookmarkStart w:id="61" w:name="_Toc202191575"/>
      <w:bookmarkStart w:id="62" w:name="_Toc207183033"/>
      <w:bookmarkStart w:id="63" w:name="_Toc233204949"/>
      <w:r w:rsidRPr="009201C0">
        <w:lastRenderedPageBreak/>
        <w:t>Les bénéfices non commerciaux (BNC)</w:t>
      </w:r>
      <w:bookmarkEnd w:id="61"/>
      <w:bookmarkEnd w:id="62"/>
      <w:bookmarkEnd w:id="63"/>
    </w:p>
    <w:p w14:paraId="597E9DD7" w14:textId="77777777" w:rsidR="00CB575E" w:rsidRPr="009201C0" w:rsidRDefault="00CB575E" w:rsidP="002E5F2B">
      <w:pPr>
        <w:pStyle w:val="Paragraphe-CGPC"/>
      </w:pPr>
      <w:r w:rsidRPr="009201C0">
        <w:t>Les membres des professions libérales sont imposés dans le cadre des bénéfices non-commerciaux. Tel est le cas, notamment, des professions juridiques et médicales. De même sont imposés au titre des BNC les revenus provenant de toutes occupations, exploitations lucratives et sources de profit ne se rattachant pas à une autre catégorie.</w:t>
      </w:r>
    </w:p>
    <w:p w14:paraId="697A255B" w14:textId="77777777" w:rsidR="00CB575E" w:rsidRPr="009201C0" w:rsidRDefault="00CB575E" w:rsidP="002E5F2B">
      <w:pPr>
        <w:pStyle w:val="Paragraphe-CGPC"/>
      </w:pPr>
      <w:r w:rsidRPr="009201C0">
        <w:t>Le bénéfice non commercial imposable est constitué par l’excédent des recettes encaissées sur les dépenses professionnelles payées au cours de l’année civile (sauf option possible pour une comptabilité de type commercial en créances acquises et dépenses engagées).</w:t>
      </w:r>
    </w:p>
    <w:p w14:paraId="0DF8159D" w14:textId="77777777" w:rsidR="00CB575E" w:rsidRPr="009201C0" w:rsidRDefault="00CB575E" w:rsidP="002E5F2B">
      <w:pPr>
        <w:pStyle w:val="Paragraphe-CGPC"/>
      </w:pPr>
      <w:r w:rsidRPr="009201C0">
        <w:t>Il existe deux modes d’imposition des BNC :</w:t>
      </w:r>
    </w:p>
    <w:p w14:paraId="0161DDB0" w14:textId="77777777" w:rsidR="00CB575E" w:rsidRPr="009201C0" w:rsidRDefault="00CB575E" w:rsidP="002E5F2B">
      <w:pPr>
        <w:pStyle w:val="Paragraphe-CGPC"/>
      </w:pPr>
      <w:r w:rsidRPr="009201C0">
        <w:t>Le régime de la déclaration contrôlée (« réel ») ;</w:t>
      </w:r>
    </w:p>
    <w:p w14:paraId="22825E83" w14:textId="77777777" w:rsidR="00CB575E" w:rsidRPr="009201C0" w:rsidRDefault="00CB575E" w:rsidP="002E5F2B">
      <w:pPr>
        <w:pStyle w:val="Paragraphe-CGPC"/>
      </w:pPr>
      <w:r w:rsidRPr="009201C0">
        <w:t>Le régime micro-BNC (abattement forfaitaire) pour les professionnels réalisant un faible volume de recettes.</w:t>
      </w:r>
    </w:p>
    <w:p w14:paraId="7E709C8E" w14:textId="77777777" w:rsidR="00CB575E" w:rsidRPr="009201C0" w:rsidRDefault="00CB575E" w:rsidP="001F5988">
      <w:r w:rsidRPr="009201C0">
        <w:t> </w:t>
      </w:r>
    </w:p>
    <w:p w14:paraId="4132FE8A" w14:textId="00292F5F" w:rsidR="00CB575E" w:rsidRPr="009201C0" w:rsidRDefault="00CB575E" w:rsidP="002E5F2B">
      <w:pPr>
        <w:pStyle w:val="Titre2"/>
      </w:pPr>
      <w:bookmarkStart w:id="64" w:name="_Toc202191576"/>
      <w:bookmarkStart w:id="65" w:name="_Toc207183034"/>
      <w:bookmarkStart w:id="66" w:name="_Toc233204950"/>
      <w:r w:rsidRPr="009201C0">
        <w:t>Les bénéfices agricoles (BA)</w:t>
      </w:r>
      <w:bookmarkEnd w:id="64"/>
      <w:bookmarkEnd w:id="65"/>
      <w:bookmarkEnd w:id="66"/>
      <w:r w:rsidRPr="009201C0">
        <w:t> </w:t>
      </w:r>
    </w:p>
    <w:p w14:paraId="5C5BDB9B" w14:textId="77777777" w:rsidR="00CB575E" w:rsidRPr="00E71E9F" w:rsidRDefault="00CB575E" w:rsidP="002E5F2B">
      <w:pPr>
        <w:pStyle w:val="Paragraphe-CGPC"/>
      </w:pPr>
      <w:r w:rsidRPr="00E71E9F">
        <w:t>Sont taxés comme bénéfices agricoles, les bénéfices provenant des activités de culture et d’élevage.</w:t>
      </w:r>
    </w:p>
    <w:p w14:paraId="4B04C397" w14:textId="77777777" w:rsidR="00CB575E" w:rsidRPr="00E71E9F" w:rsidRDefault="00CB575E" w:rsidP="002E5F2B">
      <w:pPr>
        <w:pStyle w:val="Paragraphe-CGPC"/>
      </w:pPr>
      <w:r w:rsidRPr="00E71E9F">
        <w:t>Il existe </w:t>
      </w:r>
      <w:r w:rsidRPr="00E71E9F">
        <w:rPr>
          <w:rStyle w:val="lev"/>
          <w:b w:val="0"/>
          <w:bCs/>
        </w:rPr>
        <w:t>plusieurs modes d’imposition des bénéfices agricoles :</w:t>
      </w:r>
    </w:p>
    <w:p w14:paraId="10D0627B" w14:textId="77777777" w:rsidR="00CB575E" w:rsidRPr="00E71E9F" w:rsidRDefault="00CB575E" w:rsidP="002E5F2B">
      <w:pPr>
        <w:pStyle w:val="Paragraphe-CGPC"/>
      </w:pPr>
      <w:r w:rsidRPr="00E71E9F">
        <w:t>Le </w:t>
      </w:r>
      <w:r w:rsidRPr="00E71E9F">
        <w:rPr>
          <w:rStyle w:val="lev"/>
          <w:b w:val="0"/>
          <w:bCs/>
        </w:rPr>
        <w:t>forfait</w:t>
      </w:r>
      <w:r w:rsidRPr="00E71E9F">
        <w:t>, qui concerne les plus petites exploitations ;</w:t>
      </w:r>
    </w:p>
    <w:p w14:paraId="255ECE5E" w14:textId="77777777" w:rsidR="00CB575E" w:rsidRPr="00E71E9F" w:rsidRDefault="00CB575E" w:rsidP="002E5F2B">
      <w:pPr>
        <w:pStyle w:val="Paragraphe-CGPC"/>
      </w:pPr>
      <w:r w:rsidRPr="00E71E9F">
        <w:t>Le </w:t>
      </w:r>
      <w:r w:rsidRPr="00E71E9F">
        <w:rPr>
          <w:rStyle w:val="lev"/>
          <w:b w:val="0"/>
          <w:bCs/>
        </w:rPr>
        <w:t>réel simplifié</w:t>
      </w:r>
      <w:r w:rsidRPr="00E71E9F">
        <w:t>, qui concerne les exploitations moyennes ;</w:t>
      </w:r>
    </w:p>
    <w:p w14:paraId="411FC324" w14:textId="77777777" w:rsidR="00CB575E" w:rsidRPr="00E71E9F" w:rsidRDefault="00CB575E" w:rsidP="002E5F2B">
      <w:pPr>
        <w:pStyle w:val="Paragraphe-CGPC"/>
      </w:pPr>
      <w:r w:rsidRPr="00E71E9F">
        <w:t>Le </w:t>
      </w:r>
      <w:r w:rsidRPr="00E71E9F">
        <w:rPr>
          <w:rStyle w:val="lev"/>
          <w:b w:val="0"/>
          <w:bCs/>
        </w:rPr>
        <w:t>réel normal</w:t>
      </w:r>
      <w:r w:rsidRPr="00E71E9F">
        <w:t>, qui concerne les autres exploitations.</w:t>
      </w:r>
    </w:p>
    <w:p w14:paraId="7A8E117E" w14:textId="7F637804" w:rsidR="00CB575E" w:rsidRPr="00E71E9F" w:rsidRDefault="00CB575E" w:rsidP="002E5F2B">
      <w:pPr>
        <w:pStyle w:val="Paragraphe-CGPC"/>
      </w:pPr>
      <w:r w:rsidRPr="00E71E9F">
        <w:t>Les déficits agricoles peuvent être imputés sur le revenu global quand les revenus non-agricoles du contribuable sont inférieurs à </w:t>
      </w:r>
      <w:r w:rsidRPr="00BF2476">
        <w:rPr>
          <w:strike/>
          <w:color w:val="EE0000"/>
        </w:rPr>
        <w:t>119 675 €</w:t>
      </w:r>
      <w:r w:rsidRPr="00BF2476">
        <w:rPr>
          <w:color w:val="EE0000"/>
        </w:rPr>
        <w:t> </w:t>
      </w:r>
      <w:r w:rsidRPr="00E71E9F">
        <w:t xml:space="preserve">pour l’imposition des revenus de </w:t>
      </w:r>
      <w:r w:rsidRPr="00BF2476">
        <w:rPr>
          <w:strike/>
          <w:color w:val="EE0000"/>
        </w:rPr>
        <w:t>2022</w:t>
      </w:r>
      <w:r w:rsidRPr="00E71E9F">
        <w:t>.</w:t>
      </w:r>
      <w:r w:rsidR="00CD7A29">
        <w:t xml:space="preserve"> </w:t>
      </w:r>
      <w:r w:rsidR="003F4574">
        <w:t>1</w:t>
      </w:r>
      <w:r w:rsidR="00732B16">
        <w:t>27</w:t>
      </w:r>
      <w:r w:rsidR="003F4574">
        <w:t xml:space="preserve"> </w:t>
      </w:r>
      <w:r w:rsidR="00732B16">
        <w:t>677</w:t>
      </w:r>
      <w:r w:rsidR="003F4574">
        <w:t xml:space="preserve"> € </w:t>
      </w:r>
      <w:r w:rsidR="00212140">
        <w:t xml:space="preserve"> (depuis le 21 février 2026)</w:t>
      </w:r>
    </w:p>
    <w:p w14:paraId="374211AD" w14:textId="77777777" w:rsidR="00CB575E" w:rsidRPr="00E71E9F" w:rsidRDefault="00CB575E" w:rsidP="002E5F2B">
      <w:pPr>
        <w:pStyle w:val="Paragraphe-CGPC"/>
      </w:pPr>
      <w:r w:rsidRPr="00E71E9F">
        <w:t>Au-delà, ils peuvent seulement être imputés sur les bénéfices agricoles réalisés au cours des 6 années suivantes.</w:t>
      </w:r>
    </w:p>
    <w:p w14:paraId="0F14B805" w14:textId="79EFAEDF" w:rsidR="00695B48" w:rsidRPr="00E71E9F" w:rsidRDefault="00695B48" w:rsidP="002E5F2B">
      <w:pPr>
        <w:pStyle w:val="Paragraphe-CGPC"/>
      </w:pPr>
      <w:r w:rsidRPr="00E71E9F">
        <w:t>https://entreprendre.service-public.fr/</w:t>
      </w:r>
    </w:p>
    <w:p w14:paraId="0379CC09" w14:textId="2BA5B4C5" w:rsidR="001F5988" w:rsidRPr="00E71E9F" w:rsidRDefault="001F5988" w:rsidP="002E5F2B">
      <w:pPr>
        <w:pStyle w:val="Paragraphe-CGPC"/>
      </w:pPr>
      <w:r w:rsidRPr="00E71E9F">
        <w:br w:type="page"/>
      </w:r>
    </w:p>
    <w:bookmarkStart w:id="67" w:name="_Toc202191577"/>
    <w:p w14:paraId="79CCC8E2" w14:textId="5D551194" w:rsidR="00E71E9F" w:rsidRDefault="00A2124E" w:rsidP="00E71E9F">
      <w:r>
        <w:rPr>
          <w:noProof/>
          <w14:ligatures w14:val="standardContextual"/>
        </w:rPr>
        <w:lastRenderedPageBreak/>
        <mc:AlternateContent>
          <mc:Choice Requires="wps">
            <w:drawing>
              <wp:anchor distT="0" distB="0" distL="114300" distR="114300" simplePos="0" relativeHeight="251653114" behindDoc="1" locked="0" layoutInCell="1" allowOverlap="1" wp14:anchorId="239031E9" wp14:editId="6669758C">
                <wp:simplePos x="0" y="0"/>
                <wp:positionH relativeFrom="column">
                  <wp:posOffset>-914400</wp:posOffset>
                </wp:positionH>
                <wp:positionV relativeFrom="paragraph">
                  <wp:posOffset>-197485</wp:posOffset>
                </wp:positionV>
                <wp:extent cx="15259050" cy="8893175"/>
                <wp:effectExtent l="0" t="0" r="19050" b="22225"/>
                <wp:wrapNone/>
                <wp:docPr id="1201093327" name="Rectangle 11"/>
                <wp:cNvGraphicFramePr/>
                <a:graphic xmlns:a="http://schemas.openxmlformats.org/drawingml/2006/main">
                  <a:graphicData uri="http://schemas.microsoft.com/office/word/2010/wordprocessingShape">
                    <wps:wsp>
                      <wps:cNvSpPr/>
                      <wps:spPr>
                        <a:xfrm>
                          <a:off x="0" y="0"/>
                          <a:ext cx="15259050" cy="889317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3D2D0B" id="Rectangle 11" o:spid="_x0000_s1026" style="position:absolute;margin-left:-1in;margin-top:-15.55pt;width:1201.5pt;height:700.25pt;z-index:-2516633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" fillcolor="#4472c4 [3204]" strokecolor="#09101d [484]" strokeweight="1pt"/>
            </w:pict>
          </mc:Fallback>
        </mc:AlternateContent>
      </w:r>
    </w:p>
    <w:p w14:paraId="75EF3942" w14:textId="77777777" w:rsidR="00E71E9F" w:rsidRDefault="00E71E9F" w:rsidP="00E71E9F"/>
    <w:p w14:paraId="169DDA98" w14:textId="77777777" w:rsidR="00E71E9F" w:rsidRDefault="00E71E9F" w:rsidP="00E71E9F"/>
    <w:p w14:paraId="2EA6E7B7" w14:textId="77777777" w:rsidR="00E71E9F" w:rsidRDefault="00E71E9F" w:rsidP="00E71E9F"/>
    <w:p w14:paraId="22F1C847" w14:textId="77777777" w:rsidR="00E71E9F" w:rsidRDefault="00E71E9F" w:rsidP="00E71E9F"/>
    <w:p w14:paraId="145B3053" w14:textId="77777777" w:rsidR="00E71E9F" w:rsidRDefault="00E71E9F" w:rsidP="00E71E9F"/>
    <w:p w14:paraId="4DBD8AEF" w14:textId="77777777" w:rsidR="00E71E9F" w:rsidRDefault="00E71E9F" w:rsidP="00E71E9F"/>
    <w:p w14:paraId="24C05C0D" w14:textId="77777777" w:rsidR="00E71E9F" w:rsidRDefault="00E71E9F" w:rsidP="00E71E9F"/>
    <w:p w14:paraId="23ACFD91" w14:textId="77777777" w:rsidR="00E71E9F" w:rsidRDefault="00E71E9F" w:rsidP="00E71E9F"/>
    <w:p w14:paraId="0E30A51A" w14:textId="1BA1A7BF" w:rsidR="00E71E9F" w:rsidRPr="00E71E9F" w:rsidRDefault="00CB575E" w:rsidP="00E71E9F">
      <w:pPr>
        <w:pStyle w:val="Titre1"/>
      </w:pPr>
      <w:bookmarkStart w:id="68" w:name="_Toc207183035"/>
      <w:bookmarkStart w:id="69" w:name="_Toc233204951"/>
      <w:r w:rsidRPr="00E71E9F">
        <w:t>Le calcul de l’impôt</w:t>
      </w:r>
      <w:bookmarkEnd w:id="67"/>
      <w:bookmarkEnd w:id="68"/>
      <w:bookmarkEnd w:id="69"/>
      <w:r w:rsidRPr="00E71E9F">
        <w:t> </w:t>
      </w:r>
    </w:p>
    <w:p w14:paraId="459DC77F" w14:textId="77777777" w:rsidR="00E71E9F" w:rsidRDefault="00E71E9F" w:rsidP="002E5F2B">
      <w:pPr>
        <w:pStyle w:val="Paragraphe-CGPC"/>
        <w:rPr>
          <w:rFonts w:eastAsiaTheme="majorEastAsia"/>
          <w:color w:val="3A5D9C"/>
          <w:sz w:val="44"/>
          <w:szCs w:val="26"/>
          <w:bdr w:val="none" w:sz="0" w:space="0" w:color="auto" w:frame="1"/>
        </w:rPr>
      </w:pPr>
      <w:r>
        <w:br w:type="page"/>
      </w:r>
    </w:p>
    <w:p w14:paraId="7B3A87D2" w14:textId="4A4D6389" w:rsidR="00CB575E" w:rsidRPr="009201C0" w:rsidRDefault="00CB575E" w:rsidP="002E5F2B">
      <w:pPr>
        <w:pStyle w:val="Paragraphe-CGPC"/>
      </w:pPr>
      <w:r w:rsidRPr="009201C0">
        <w:lastRenderedPageBreak/>
        <w:t xml:space="preserve">Le </w:t>
      </w:r>
      <w:r w:rsidR="00074118" w:rsidRPr="009201C0">
        <w:t>calcul</w:t>
      </w:r>
      <w:r w:rsidRPr="009201C0">
        <w:t xml:space="preserve"> de l’</w:t>
      </w:r>
      <w:hyperlink r:id="rId14" w:history="1">
        <w:r w:rsidRPr="009201C0">
          <w:rPr>
            <w:rStyle w:val="Lienhypertexte"/>
            <w:color w:val="auto"/>
            <w:u w:val="none"/>
          </w:rPr>
          <w:t>impôt sur le revenu</w:t>
        </w:r>
      </w:hyperlink>
      <w:r w:rsidRPr="009201C0">
        <w:t> brut se calcule à partir du </w:t>
      </w:r>
      <w:hyperlink r:id="rId15" w:history="1">
        <w:r w:rsidRPr="009201C0">
          <w:rPr>
            <w:rStyle w:val="lev"/>
            <w:b w:val="0"/>
            <w:bCs/>
          </w:rPr>
          <w:t>revenu net imposable</w:t>
        </w:r>
      </w:hyperlink>
      <w:r w:rsidRPr="009201C0">
        <w:t>, en 3 grandes étapes :</w:t>
      </w:r>
    </w:p>
    <w:p w14:paraId="0F797808" w14:textId="705EC0E6" w:rsidR="00CB575E" w:rsidRPr="009201C0" w:rsidRDefault="00CB575E" w:rsidP="002E5F2B">
      <w:pPr>
        <w:pStyle w:val="Paragraphe-CGPC"/>
        <w:numPr>
          <w:ilvl w:val="0"/>
          <w:numId w:val="22"/>
        </w:numPr>
      </w:pPr>
      <w:hyperlink r:id="rId16" w:anchor="Etape1" w:history="1">
        <w:r w:rsidRPr="009201C0">
          <w:rPr>
            <w:rStyle w:val="Lienhypertexte"/>
            <w:color w:val="auto"/>
            <w:u w:val="none"/>
          </w:rPr>
          <w:t>Diviser le revenu net imposable par le nombre de parts</w:t>
        </w:r>
      </w:hyperlink>
    </w:p>
    <w:p w14:paraId="41FE7E62" w14:textId="4ABBD93B" w:rsidR="00CB575E" w:rsidRPr="009201C0" w:rsidRDefault="00CB575E" w:rsidP="002E5F2B">
      <w:pPr>
        <w:pStyle w:val="Paragraphe-CGPC"/>
        <w:numPr>
          <w:ilvl w:val="0"/>
          <w:numId w:val="22"/>
        </w:numPr>
      </w:pPr>
      <w:hyperlink r:id="rId17" w:anchor="Etape2" w:history="1">
        <w:r w:rsidRPr="009201C0">
          <w:rPr>
            <w:rStyle w:val="Lienhypertexte"/>
            <w:color w:val="auto"/>
            <w:u w:val="none"/>
          </w:rPr>
          <w:t>Appliquer ensuite à ce résultat le barème progressif de l’impôt.</w:t>
        </w:r>
      </w:hyperlink>
    </w:p>
    <w:p w14:paraId="5B434746" w14:textId="2BB17A72" w:rsidR="00CB575E" w:rsidRPr="009201C0" w:rsidRDefault="00CB575E" w:rsidP="002E5F2B">
      <w:pPr>
        <w:pStyle w:val="Paragraphe-CGPC"/>
        <w:numPr>
          <w:ilvl w:val="0"/>
          <w:numId w:val="22"/>
        </w:numPr>
      </w:pPr>
      <w:hyperlink r:id="rId18" w:anchor="Etape3" w:history="1">
        <w:r w:rsidRPr="009201C0">
          <w:rPr>
            <w:rStyle w:val="Lienhypertexte"/>
            <w:color w:val="auto"/>
            <w:u w:val="none"/>
          </w:rPr>
          <w:t>Multiplier le résultat obtenu par le nombre de parts du quotient familial.</w:t>
        </w:r>
      </w:hyperlink>
    </w:p>
    <w:p w14:paraId="3F1221D2" w14:textId="5864069A" w:rsidR="00CB575E" w:rsidRPr="009201C0" w:rsidRDefault="00CB575E" w:rsidP="002E5F2B">
      <w:pPr>
        <w:pStyle w:val="Paragraphe-CGPC"/>
      </w:pPr>
      <w:r w:rsidRPr="009201C0">
        <w:rPr>
          <w:rStyle w:val="Accentuation"/>
          <w:i w:val="0"/>
          <w:iCs w:val="0"/>
        </w:rPr>
        <w:t>1ère étape :</w:t>
      </w:r>
      <w:r w:rsidR="00074118" w:rsidRPr="009201C0">
        <w:rPr>
          <w:rStyle w:val="Accentuation"/>
          <w:i w:val="0"/>
          <w:iCs w:val="0"/>
        </w:rPr>
        <w:t xml:space="preserve"> Déterminer le montant du quotient familial : revenu net imposable pour une part</w:t>
      </w:r>
    </w:p>
    <w:p w14:paraId="35A84384" w14:textId="77777777" w:rsidR="00CB575E" w:rsidRPr="009201C0" w:rsidRDefault="00CB575E" w:rsidP="002E5F2B">
      <w:pPr>
        <w:pStyle w:val="Paragraphe-CGPC"/>
      </w:pPr>
      <w:r w:rsidRPr="009201C0">
        <w:t>Le </w:t>
      </w:r>
      <w:r w:rsidRPr="009201C0">
        <w:rPr>
          <w:rStyle w:val="lev"/>
          <w:b w:val="0"/>
          <w:bCs/>
        </w:rPr>
        <w:t>décompte des parts</w:t>
      </w:r>
      <w:r w:rsidRPr="009201C0">
        <w:t> s’établit comme suit :</w:t>
      </w:r>
    </w:p>
    <w:p w14:paraId="1332EAB5" w14:textId="77777777" w:rsidR="00CB575E" w:rsidRPr="009201C0" w:rsidRDefault="00CB575E" w:rsidP="002E5F2B">
      <w:pPr>
        <w:pStyle w:val="Paragraphe-CGPC"/>
      </w:pPr>
      <w:r w:rsidRPr="009201C0">
        <w:t>Une personne seule : une part ;</w:t>
      </w:r>
    </w:p>
    <w:p w14:paraId="2362EDBC" w14:textId="77777777" w:rsidR="00CB575E" w:rsidRPr="009201C0" w:rsidRDefault="00CB575E" w:rsidP="002E5F2B">
      <w:pPr>
        <w:pStyle w:val="Paragraphe-CGPC"/>
      </w:pPr>
      <w:r w:rsidRPr="009201C0">
        <w:t>Deux personnes mariées sans enfants : deux parts ;</w:t>
      </w:r>
    </w:p>
    <w:p w14:paraId="2546FFD1" w14:textId="77777777" w:rsidR="00CB575E" w:rsidRPr="009201C0" w:rsidRDefault="00CB575E" w:rsidP="002E5F2B">
      <w:pPr>
        <w:pStyle w:val="Paragraphe-CGPC"/>
      </w:pPr>
      <w:r w:rsidRPr="009201C0">
        <w:t>Chaque enfant à charge compte une demi-part (sauf à partir du 3ème où chaque enfant compte pour une part entière). Les enfants en résidence alternée comptent pour un quart de part ou une demi-part selon leur rang et le nombre d’enfants par ailleurs à la charge de chacun de leurs parents.</w:t>
      </w:r>
    </w:p>
    <w:p w14:paraId="2FD0C972" w14:textId="6D011C80" w:rsidR="00CB575E" w:rsidRPr="009201C0" w:rsidRDefault="00CB575E" w:rsidP="002E5F2B">
      <w:pPr>
        <w:pStyle w:val="Paragraphe-CGPC"/>
      </w:pPr>
      <w:r w:rsidRPr="00E71E9F">
        <w:rPr>
          <w:rStyle w:val="Accentuation"/>
          <w:b/>
          <w:bCs w:val="0"/>
          <w:i w:val="0"/>
          <w:iCs w:val="0"/>
          <w:u w:val="single"/>
        </w:rPr>
        <w:t>Observations</w:t>
      </w:r>
      <w:r w:rsidRPr="00E71E9F">
        <w:rPr>
          <w:b/>
          <w:u w:val="single"/>
        </w:rPr>
        <w:t> :</w:t>
      </w:r>
      <w:r w:rsidRPr="009201C0">
        <w:t> </w:t>
      </w:r>
      <w:r w:rsidRPr="009201C0">
        <w:rPr>
          <w:rStyle w:val="Accentuation"/>
          <w:i w:val="0"/>
          <w:iCs w:val="0"/>
        </w:rPr>
        <w:t>dans certains cas, le contribuable peut bénéficier d’une demi-part supplémentaire, comme :</w:t>
      </w:r>
    </w:p>
    <w:p w14:paraId="77CCF00E" w14:textId="502B8B4D" w:rsidR="00CB575E" w:rsidRPr="009201C0" w:rsidRDefault="00CB575E" w:rsidP="002E5F2B">
      <w:pPr>
        <w:pStyle w:val="Paragraphe-CGPC"/>
      </w:pPr>
      <w:r w:rsidRPr="009201C0">
        <w:rPr>
          <w:rStyle w:val="Accentuation"/>
          <w:i w:val="0"/>
          <w:iCs w:val="0"/>
        </w:rPr>
        <w:t>Les contribuables âgés de plus de 7</w:t>
      </w:r>
      <w:r w:rsidR="00074118" w:rsidRPr="009201C0">
        <w:rPr>
          <w:rStyle w:val="Accentuation"/>
          <w:i w:val="0"/>
          <w:iCs w:val="0"/>
        </w:rPr>
        <w:t>5</w:t>
      </w:r>
      <w:r w:rsidRPr="009201C0">
        <w:rPr>
          <w:rStyle w:val="Accentuation"/>
          <w:i w:val="0"/>
          <w:iCs w:val="0"/>
        </w:rPr>
        <w:t xml:space="preserve"> ans lorsqu’ils sont célibataires, divorcés ou veufs sans enfants à charges et qu’ils sont titulaires de la carte du combattant ou perçoivent une pension militaire ou de victime de guerre. Les mêmes dispositions s’appliquent à leurs veuves.</w:t>
      </w:r>
    </w:p>
    <w:p w14:paraId="0C223A88" w14:textId="77777777" w:rsidR="00CB575E" w:rsidRPr="009201C0" w:rsidRDefault="00CB575E" w:rsidP="002E5F2B">
      <w:pPr>
        <w:pStyle w:val="Paragraphe-CGPC"/>
      </w:pPr>
      <w:r w:rsidRPr="009201C0">
        <w:rPr>
          <w:rStyle w:val="Accentuation"/>
          <w:i w:val="0"/>
          <w:iCs w:val="0"/>
        </w:rPr>
        <w:t>Les contribuables titulaires d’une carte d’invalidité</w:t>
      </w:r>
    </w:p>
    <w:p w14:paraId="182C272F" w14:textId="35490FC3" w:rsidR="00CB575E" w:rsidRPr="009201C0" w:rsidRDefault="00CB575E" w:rsidP="002E5F2B">
      <w:pPr>
        <w:pStyle w:val="Paragraphe-CGPC"/>
      </w:pPr>
      <w:r w:rsidRPr="009201C0">
        <w:rPr>
          <w:rStyle w:val="Accentuation"/>
          <w:i w:val="0"/>
          <w:iCs w:val="0"/>
        </w:rPr>
        <w:t>Les personnes isolées</w:t>
      </w:r>
      <w:r w:rsidR="005C69C4">
        <w:rPr>
          <w:rStyle w:val="Accentuation"/>
          <w:i w:val="0"/>
          <w:iCs w:val="0"/>
        </w:rPr>
        <w:t xml:space="preserve"> ( principalement personnes seules avec </w:t>
      </w:r>
      <w:r w:rsidR="00EC4B5B">
        <w:rPr>
          <w:rStyle w:val="Accentuation"/>
          <w:i w:val="0"/>
          <w:iCs w:val="0"/>
        </w:rPr>
        <w:t>des enfants..)</w:t>
      </w:r>
    </w:p>
    <w:p w14:paraId="70E7FD41" w14:textId="0307E34B" w:rsidR="00CB575E" w:rsidRPr="009201C0" w:rsidRDefault="00074118" w:rsidP="002E5F2B">
      <w:pPr>
        <w:pStyle w:val="Paragraphe-CGPC"/>
      </w:pPr>
      <w:r w:rsidRPr="009201C0">
        <w:rPr>
          <w:rStyle w:val="Accentuation"/>
          <w:i w:val="0"/>
          <w:iCs w:val="0"/>
        </w:rPr>
        <w:t>E</w:t>
      </w:r>
      <w:r w:rsidR="00CB575E" w:rsidRPr="009201C0">
        <w:rPr>
          <w:rStyle w:val="Accentuation"/>
          <w:i w:val="0"/>
          <w:iCs w:val="0"/>
        </w:rPr>
        <w:t>tc</w:t>
      </w:r>
      <w:r w:rsidRPr="009201C0">
        <w:rPr>
          <w:rStyle w:val="Accentuation"/>
          <w:i w:val="0"/>
          <w:iCs w:val="0"/>
        </w:rPr>
        <w:t>…</w:t>
      </w:r>
    </w:p>
    <w:p w14:paraId="0EEB95E3" w14:textId="5EAF4589" w:rsidR="00CB575E" w:rsidRPr="009201C0" w:rsidRDefault="00CB575E" w:rsidP="002E5F2B">
      <w:pPr>
        <w:pStyle w:val="Paragraphe-CGPC"/>
      </w:pPr>
      <w:r w:rsidRPr="00E71E9F">
        <w:rPr>
          <w:rStyle w:val="Accentuation"/>
          <w:b/>
          <w:bCs w:val="0"/>
          <w:i w:val="0"/>
          <w:iCs w:val="0"/>
          <w:u w:val="single"/>
        </w:rPr>
        <w:t>N.B.</w:t>
      </w:r>
      <w:r w:rsidRPr="009201C0">
        <w:t> </w:t>
      </w:r>
      <w:r w:rsidRPr="009201C0">
        <w:rPr>
          <w:rStyle w:val="Accentuation"/>
          <w:i w:val="0"/>
          <w:iCs w:val="0"/>
        </w:rPr>
        <w:t>Une demi-part fiscale peut être accordé pour le parent isolé ayant eu la charge effective et exclusive de son enfant pendant au moins 5 ans.</w:t>
      </w:r>
    </w:p>
    <w:p w14:paraId="7EE1CEE6" w14:textId="12B00576" w:rsidR="00CB575E" w:rsidRPr="009201C0" w:rsidRDefault="00CB575E" w:rsidP="002E5F2B">
      <w:pPr>
        <w:pStyle w:val="Paragraphe-CGPC"/>
      </w:pPr>
      <w:r w:rsidRPr="009201C0">
        <w:rPr>
          <w:rStyle w:val="lev"/>
          <w:b w:val="0"/>
          <w:bCs/>
        </w:rPr>
        <w:t>Le résultat du QF (Quotient Familial) donne le TMI (Taux Marginal d’Imposition)</w:t>
      </w:r>
    </w:p>
    <w:p w14:paraId="37CB388E" w14:textId="77777777" w:rsidR="00CB575E" w:rsidRPr="009201C0" w:rsidRDefault="00CB575E" w:rsidP="002E5F2B">
      <w:pPr>
        <w:pStyle w:val="Paragraphe-CGPC"/>
      </w:pPr>
      <w:r w:rsidRPr="009201C0">
        <w:t>2ème étape : appliquer ensuite à ce résultat le barème progressif de l’impôt (défini par tranche)</w:t>
      </w:r>
    </w:p>
    <w:p w14:paraId="0A4561C0" w14:textId="77777777" w:rsidR="00CB575E" w:rsidRPr="009201C0" w:rsidRDefault="00CB575E" w:rsidP="002E5F2B">
      <w:pPr>
        <w:pStyle w:val="Paragraphe-CGPC"/>
      </w:pPr>
      <w:r w:rsidRPr="009201C0">
        <w:rPr>
          <w:rStyle w:val="lev"/>
          <w:b w:val="0"/>
          <w:bCs/>
        </w:rPr>
        <w:t>L’impôt dû pour une part</w:t>
      </w:r>
      <w:r w:rsidRPr="009201C0">
        <w:t> est calculé sur la base du quotient familial par application du barème progressif.</w:t>
      </w:r>
    </w:p>
    <w:p w14:paraId="22C3C523" w14:textId="77777777" w:rsidR="00CB575E" w:rsidRPr="009201C0" w:rsidRDefault="00CB575E" w:rsidP="002E5F2B">
      <w:pPr>
        <w:pStyle w:val="Paragraphe-CGPC"/>
      </w:pPr>
      <w:r w:rsidRPr="009201C0">
        <w:lastRenderedPageBreak/>
        <w:t>3ème étape : </w:t>
      </w:r>
      <w:hyperlink r:id="rId19" w:anchor="Etape3" w:history="1">
        <w:r w:rsidRPr="009201C0">
          <w:rPr>
            <w:rStyle w:val="Lienhypertexte"/>
            <w:color w:val="auto"/>
            <w:u w:val="none"/>
          </w:rPr>
          <w:t>multiplier le résultat obtenu par le nombre de parts du quotient familial.</w:t>
        </w:r>
      </w:hyperlink>
    </w:p>
    <w:p w14:paraId="4B6EA702" w14:textId="77777777" w:rsidR="00CB575E" w:rsidRPr="00E71E9F" w:rsidRDefault="00CB575E" w:rsidP="002E5F2B">
      <w:pPr>
        <w:pStyle w:val="Paragraphe-CGPC"/>
      </w:pPr>
      <w:r w:rsidRPr="00E71E9F">
        <w:t>Ce montant est alors multiplié par le </w:t>
      </w:r>
      <w:r w:rsidRPr="00E71E9F">
        <w:rPr>
          <w:rStyle w:val="lev"/>
          <w:b w:val="0"/>
          <w:bCs/>
        </w:rPr>
        <w:t>nombre de parts</w:t>
      </w:r>
      <w:r w:rsidRPr="00E71E9F">
        <w:t> pour obtenir l’impôt brut.</w:t>
      </w:r>
    </w:p>
    <w:p w14:paraId="6F09C2A7" w14:textId="66C92C82" w:rsidR="00CB575E" w:rsidRPr="00E71E9F" w:rsidRDefault="00CB575E" w:rsidP="002E5F2B">
      <w:pPr>
        <w:pStyle w:val="Paragraphe-CGPC"/>
      </w:pPr>
      <w:r w:rsidRPr="00E71E9F">
        <w:rPr>
          <w:rStyle w:val="Accentuation"/>
          <w:i w:val="0"/>
          <w:iCs w:val="0"/>
        </w:rPr>
        <w:t>Attention : la formule rapide de calcul proposée dans le tableau ci-après est une formule qui permet de calculer l’IR sur </w:t>
      </w:r>
      <w:r w:rsidRPr="00E71E9F">
        <w:rPr>
          <w:rStyle w:val="lev"/>
          <w:b w:val="0"/>
          <w:bCs/>
        </w:rPr>
        <w:t>la totalité du revenu</w:t>
      </w:r>
      <w:r w:rsidRPr="00E71E9F">
        <w:rPr>
          <w:rStyle w:val="Accentuation"/>
          <w:i w:val="0"/>
          <w:iCs w:val="0"/>
        </w:rPr>
        <w:t>, </w:t>
      </w:r>
      <w:r w:rsidRPr="00E71E9F">
        <w:rPr>
          <w:rStyle w:val="lev"/>
          <w:b w:val="0"/>
          <w:bCs/>
        </w:rPr>
        <w:t>dans le respect de la progressivité de l’impôt.</w:t>
      </w:r>
    </w:p>
    <w:p w14:paraId="647D7315" w14:textId="77777777" w:rsidR="00CB575E" w:rsidRPr="00E71E9F" w:rsidRDefault="00CB575E" w:rsidP="002E5F2B">
      <w:pPr>
        <w:pStyle w:val="Paragraphe-CGPC"/>
      </w:pPr>
      <w:r w:rsidRPr="00E71E9F">
        <w:rPr>
          <w:rStyle w:val="Accentuation"/>
          <w:i w:val="0"/>
          <w:iCs w:val="0"/>
        </w:rPr>
        <w:t>Elle remplace un calcul « par tranche ».</w:t>
      </w:r>
    </w:p>
    <w:p w14:paraId="3BB4D48E" w14:textId="77777777" w:rsidR="00CB575E" w:rsidRPr="00E71E9F" w:rsidRDefault="00CB575E" w:rsidP="002E5F2B">
      <w:pPr>
        <w:pStyle w:val="Paragraphe-CGPC"/>
      </w:pPr>
      <w:r w:rsidRPr="00E71E9F">
        <w:rPr>
          <w:rStyle w:val="Accentuation"/>
          <w:i w:val="0"/>
          <w:iCs w:val="0"/>
        </w:rPr>
        <w:t>Cette formule ne prend en compte :</w:t>
      </w:r>
    </w:p>
    <w:p w14:paraId="02EBF1A8" w14:textId="77777777" w:rsidR="00E71E9F" w:rsidRDefault="00CB575E" w:rsidP="002E5F2B">
      <w:pPr>
        <w:pStyle w:val="Paragraphe-CGPC"/>
        <w:numPr>
          <w:ilvl w:val="0"/>
          <w:numId w:val="29"/>
        </w:numPr>
      </w:pPr>
      <w:r w:rsidRPr="00E71E9F">
        <w:rPr>
          <w:rStyle w:val="Accentuation"/>
          <w:i w:val="0"/>
          <w:iCs w:val="0"/>
        </w:rPr>
        <w:t>Ni le plafonnement du quotient familial ;</w:t>
      </w:r>
    </w:p>
    <w:p w14:paraId="45C0F85B" w14:textId="77777777" w:rsidR="00E71E9F" w:rsidRDefault="00CB575E" w:rsidP="002E5F2B">
      <w:pPr>
        <w:pStyle w:val="Paragraphe-CGPC"/>
        <w:numPr>
          <w:ilvl w:val="0"/>
          <w:numId w:val="29"/>
        </w:numPr>
      </w:pPr>
      <w:r w:rsidRPr="00E71E9F">
        <w:rPr>
          <w:rStyle w:val="Accentuation"/>
          <w:i w:val="0"/>
          <w:iCs w:val="0"/>
        </w:rPr>
        <w:t>Ni la décote ;</w:t>
      </w:r>
    </w:p>
    <w:p w14:paraId="234B22F4" w14:textId="62C8A078" w:rsidR="00CB575E" w:rsidRPr="00E71E9F" w:rsidRDefault="00CB575E" w:rsidP="002E5F2B">
      <w:pPr>
        <w:pStyle w:val="Paragraphe-CGPC"/>
        <w:numPr>
          <w:ilvl w:val="0"/>
          <w:numId w:val="29"/>
        </w:numPr>
      </w:pPr>
      <w:r w:rsidRPr="00E71E9F">
        <w:rPr>
          <w:rStyle w:val="Accentuation"/>
          <w:i w:val="0"/>
          <w:iCs w:val="0"/>
        </w:rPr>
        <w:t>Ni la contribution exceptionnelle sur les hauts revenus.</w:t>
      </w:r>
    </w:p>
    <w:p w14:paraId="251355C4" w14:textId="77777777" w:rsidR="00E71E9F" w:rsidRDefault="00E71E9F" w:rsidP="002E5F2B">
      <w:pPr>
        <w:pStyle w:val="Paragraphe-CGPC"/>
        <w:rPr>
          <w:rStyle w:val="lev"/>
          <w:b w:val="0"/>
          <w:bCs/>
        </w:rPr>
      </w:pPr>
    </w:p>
    <w:p w14:paraId="1488BC8A" w14:textId="17048FF5" w:rsidR="00CB575E" w:rsidRPr="00E71E9F" w:rsidRDefault="00CB575E" w:rsidP="002E5F2B">
      <w:pPr>
        <w:pStyle w:val="Paragraphe-CGPC"/>
        <w:rPr>
          <w:rStyle w:val="lev"/>
          <w:b w:val="0"/>
          <w:bCs/>
        </w:rPr>
      </w:pPr>
      <w:r w:rsidRPr="00E71E9F">
        <w:rPr>
          <w:rStyle w:val="lev"/>
          <w:b w:val="0"/>
          <w:bCs/>
        </w:rPr>
        <w:t>Formule rapide :</w:t>
      </w:r>
    </w:p>
    <w:tbl>
      <w:tblPr>
        <w:tblW w:w="0" w:type="auto"/>
        <w:tblCellSpacing w:w="15" w:type="dxa"/>
        <w:tblInd w:w="10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163"/>
        <w:gridCol w:w="5081"/>
      </w:tblGrid>
      <w:tr w:rsidR="00FB15F7" w:rsidRPr="00FB15F7" w14:paraId="2159526A" w14:textId="77777777" w:rsidTr="002D36DB">
        <w:trPr>
          <w:tblHeader/>
          <w:tblCellSpacing w:w="15" w:type="dxa"/>
        </w:trPr>
        <w:tc>
          <w:tcPr>
            <w:tcW w:w="0" w:type="auto"/>
            <w:tcBorders>
              <w:top w:val="nil"/>
              <w:left w:val="nil"/>
              <w:bottom w:val="single" w:sz="6" w:space="0" w:color="000000"/>
              <w:right w:val="single" w:sz="6" w:space="0" w:color="000000"/>
            </w:tcBorders>
            <w:shd w:val="clear" w:color="auto" w:fill="F5F5F5"/>
            <w:tcMar>
              <w:top w:w="75" w:type="dxa"/>
              <w:left w:w="75" w:type="dxa"/>
              <w:bottom w:w="75" w:type="dxa"/>
              <w:right w:w="75" w:type="dxa"/>
            </w:tcMar>
            <w:vAlign w:val="center"/>
            <w:hideMark/>
          </w:tcPr>
          <w:p w14:paraId="478BE9B1" w14:textId="77777777" w:rsidR="0036203B" w:rsidRPr="002E5F2B" w:rsidRDefault="0036203B" w:rsidP="002E5F2B">
            <w:pPr>
              <w:pStyle w:val="Paragraphe-CGPC"/>
            </w:pPr>
            <w:r w:rsidRPr="002E5F2B">
              <w:t>Valeur du quotient familial</w:t>
            </w:r>
            <w:r w:rsidRPr="002E5F2B">
              <w:br/>
            </w:r>
          </w:p>
        </w:tc>
        <w:tc>
          <w:tcPr>
            <w:tcW w:w="0" w:type="auto"/>
            <w:tcBorders>
              <w:top w:val="nil"/>
              <w:left w:val="nil"/>
              <w:bottom w:val="single" w:sz="6" w:space="0" w:color="000000"/>
              <w:right w:val="nil"/>
            </w:tcBorders>
            <w:shd w:val="clear" w:color="auto" w:fill="F5F5F5"/>
            <w:tcMar>
              <w:top w:w="75" w:type="dxa"/>
              <w:left w:w="75" w:type="dxa"/>
              <w:bottom w:w="75" w:type="dxa"/>
              <w:right w:w="75" w:type="dxa"/>
            </w:tcMar>
            <w:vAlign w:val="center"/>
            <w:hideMark/>
          </w:tcPr>
          <w:p w14:paraId="5D911180" w14:textId="77777777" w:rsidR="0036203B" w:rsidRPr="002E5F2B" w:rsidRDefault="0036203B" w:rsidP="002E5F2B">
            <w:pPr>
              <w:pStyle w:val="Paragraphe-CGPC"/>
            </w:pPr>
            <w:r w:rsidRPr="002E5F2B">
              <w:t>Montant de l'impôt sur le revenu</w:t>
            </w:r>
            <w:r w:rsidRPr="002E5F2B">
              <w:br/>
            </w:r>
          </w:p>
        </w:tc>
      </w:tr>
      <w:tr w:rsidR="00FB15F7" w:rsidRPr="00FB15F7" w14:paraId="38F5CD0C" w14:textId="77777777" w:rsidTr="002D36DB">
        <w:trPr>
          <w:tblCellSpacing w:w="15" w:type="dxa"/>
        </w:trPr>
        <w:tc>
          <w:tcPr>
            <w:tcW w:w="0" w:type="auto"/>
            <w:tcBorders>
              <w:top w:val="nil"/>
              <w:left w:val="nil"/>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7ABB6A18" w14:textId="77777777" w:rsidR="0036203B" w:rsidRPr="002E5F2B" w:rsidRDefault="0036203B" w:rsidP="002E5F2B">
            <w:pPr>
              <w:pStyle w:val="Paragraphe-CGPC"/>
            </w:pPr>
            <w:r w:rsidRPr="002E5F2B">
              <w:t>N'excédant pas 11 497 €</w:t>
            </w:r>
            <w:r w:rsidRPr="002E5F2B">
              <w:br/>
            </w:r>
          </w:p>
        </w:tc>
        <w:tc>
          <w:tcPr>
            <w:tcW w:w="0" w:type="auto"/>
            <w:tcBorders>
              <w:top w:val="nil"/>
              <w:left w:val="nil"/>
              <w:bottom w:val="single" w:sz="6" w:space="0" w:color="000000"/>
              <w:right w:val="nil"/>
            </w:tcBorders>
            <w:shd w:val="clear" w:color="auto" w:fill="FFFFFF"/>
            <w:tcMar>
              <w:top w:w="75" w:type="dxa"/>
              <w:left w:w="75" w:type="dxa"/>
              <w:bottom w:w="75" w:type="dxa"/>
              <w:right w:w="75" w:type="dxa"/>
            </w:tcMar>
            <w:vAlign w:val="center"/>
            <w:hideMark/>
          </w:tcPr>
          <w:p w14:paraId="02E226C4" w14:textId="77777777" w:rsidR="0036203B" w:rsidRPr="002E5F2B" w:rsidRDefault="0036203B" w:rsidP="002E5F2B">
            <w:pPr>
              <w:pStyle w:val="Paragraphe-CGPC"/>
            </w:pPr>
            <w:r w:rsidRPr="002E5F2B">
              <w:t>0</w:t>
            </w:r>
            <w:r w:rsidRPr="002E5F2B">
              <w:br/>
            </w:r>
          </w:p>
        </w:tc>
      </w:tr>
      <w:tr w:rsidR="00FB15F7" w:rsidRPr="00FB15F7" w14:paraId="0544F22D" w14:textId="77777777" w:rsidTr="002D36DB">
        <w:trPr>
          <w:tblCellSpacing w:w="15" w:type="dxa"/>
        </w:trPr>
        <w:tc>
          <w:tcPr>
            <w:tcW w:w="0" w:type="auto"/>
            <w:tcBorders>
              <w:top w:val="nil"/>
              <w:left w:val="nil"/>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48C826C5" w14:textId="77777777" w:rsidR="0036203B" w:rsidRPr="002E5F2B" w:rsidRDefault="0036203B" w:rsidP="002E5F2B">
            <w:pPr>
              <w:pStyle w:val="Paragraphe-CGPC"/>
            </w:pPr>
            <w:r w:rsidRPr="002E5F2B">
              <w:t>De 11 497 € à 29 315 €</w:t>
            </w:r>
            <w:r w:rsidRPr="002E5F2B">
              <w:br/>
            </w:r>
          </w:p>
        </w:tc>
        <w:tc>
          <w:tcPr>
            <w:tcW w:w="0" w:type="auto"/>
            <w:tcBorders>
              <w:top w:val="nil"/>
              <w:left w:val="nil"/>
              <w:bottom w:val="single" w:sz="6" w:space="0" w:color="000000"/>
              <w:right w:val="nil"/>
            </w:tcBorders>
            <w:shd w:val="clear" w:color="auto" w:fill="FFFFFF"/>
            <w:tcMar>
              <w:top w:w="75" w:type="dxa"/>
              <w:left w:w="75" w:type="dxa"/>
              <w:bottom w:w="75" w:type="dxa"/>
              <w:right w:w="75" w:type="dxa"/>
            </w:tcMar>
            <w:vAlign w:val="center"/>
            <w:hideMark/>
          </w:tcPr>
          <w:p w14:paraId="41842324" w14:textId="77777777" w:rsidR="0036203B" w:rsidRPr="002E5F2B" w:rsidRDefault="0036203B" w:rsidP="002E5F2B">
            <w:pPr>
              <w:pStyle w:val="Paragraphe-CGPC"/>
            </w:pPr>
            <w:r w:rsidRPr="002E5F2B">
              <w:t>(R × 0,11) − (1 264,67 × N)</w:t>
            </w:r>
            <w:r w:rsidRPr="002E5F2B">
              <w:br/>
            </w:r>
          </w:p>
        </w:tc>
      </w:tr>
      <w:tr w:rsidR="00FB15F7" w:rsidRPr="00FB15F7" w14:paraId="606EF70D" w14:textId="77777777" w:rsidTr="002D36DB">
        <w:trPr>
          <w:tblCellSpacing w:w="15" w:type="dxa"/>
        </w:trPr>
        <w:tc>
          <w:tcPr>
            <w:tcW w:w="0" w:type="auto"/>
            <w:tcBorders>
              <w:top w:val="nil"/>
              <w:left w:val="nil"/>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410B5082" w14:textId="77777777" w:rsidR="0036203B" w:rsidRPr="002E5F2B" w:rsidRDefault="0036203B" w:rsidP="002E5F2B">
            <w:pPr>
              <w:pStyle w:val="Paragraphe-CGPC"/>
            </w:pPr>
            <w:r w:rsidRPr="002E5F2B">
              <w:t>De 29 315 € à 83 823 €</w:t>
            </w:r>
            <w:r w:rsidRPr="002E5F2B">
              <w:br/>
            </w:r>
          </w:p>
        </w:tc>
        <w:tc>
          <w:tcPr>
            <w:tcW w:w="0" w:type="auto"/>
            <w:tcBorders>
              <w:top w:val="nil"/>
              <w:left w:val="nil"/>
              <w:bottom w:val="single" w:sz="6" w:space="0" w:color="000000"/>
              <w:right w:val="nil"/>
            </w:tcBorders>
            <w:shd w:val="clear" w:color="auto" w:fill="FFFFFF"/>
            <w:tcMar>
              <w:top w:w="75" w:type="dxa"/>
              <w:left w:w="75" w:type="dxa"/>
              <w:bottom w:w="75" w:type="dxa"/>
              <w:right w:w="75" w:type="dxa"/>
            </w:tcMar>
            <w:vAlign w:val="center"/>
            <w:hideMark/>
          </w:tcPr>
          <w:p w14:paraId="6A1C72DA" w14:textId="77777777" w:rsidR="0036203B" w:rsidRPr="002E5F2B" w:rsidRDefault="0036203B" w:rsidP="002E5F2B">
            <w:pPr>
              <w:pStyle w:val="Paragraphe-CGPC"/>
            </w:pPr>
            <w:r w:rsidRPr="002E5F2B">
              <w:t>(R × 0,30) − (6 834,52 × N)</w:t>
            </w:r>
            <w:r w:rsidRPr="002E5F2B">
              <w:br/>
            </w:r>
          </w:p>
        </w:tc>
      </w:tr>
      <w:tr w:rsidR="00FB15F7" w:rsidRPr="00FB15F7" w14:paraId="34677479" w14:textId="77777777" w:rsidTr="002D36DB">
        <w:trPr>
          <w:tblCellSpacing w:w="15" w:type="dxa"/>
        </w:trPr>
        <w:tc>
          <w:tcPr>
            <w:tcW w:w="0" w:type="auto"/>
            <w:tcBorders>
              <w:top w:val="nil"/>
              <w:left w:val="nil"/>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1C08901B" w14:textId="77777777" w:rsidR="0036203B" w:rsidRPr="002E5F2B" w:rsidRDefault="0036203B" w:rsidP="002E5F2B">
            <w:pPr>
              <w:pStyle w:val="Paragraphe-CGPC"/>
            </w:pPr>
            <w:r w:rsidRPr="002E5F2B">
              <w:t>De 83 823 € à 180 294 €</w:t>
            </w:r>
            <w:r w:rsidRPr="002E5F2B">
              <w:br/>
            </w:r>
          </w:p>
        </w:tc>
        <w:tc>
          <w:tcPr>
            <w:tcW w:w="0" w:type="auto"/>
            <w:tcBorders>
              <w:top w:val="nil"/>
              <w:left w:val="nil"/>
              <w:bottom w:val="single" w:sz="6" w:space="0" w:color="000000"/>
              <w:right w:val="nil"/>
            </w:tcBorders>
            <w:shd w:val="clear" w:color="auto" w:fill="FFFFFF"/>
            <w:tcMar>
              <w:top w:w="75" w:type="dxa"/>
              <w:left w:w="75" w:type="dxa"/>
              <w:bottom w:w="75" w:type="dxa"/>
              <w:right w:w="75" w:type="dxa"/>
            </w:tcMar>
            <w:vAlign w:val="center"/>
            <w:hideMark/>
          </w:tcPr>
          <w:p w14:paraId="0F8D223F" w14:textId="77777777" w:rsidR="0036203B" w:rsidRPr="002E5F2B" w:rsidRDefault="0036203B" w:rsidP="002E5F2B">
            <w:pPr>
              <w:pStyle w:val="Paragraphe-CGPC"/>
            </w:pPr>
            <w:r w:rsidRPr="002E5F2B">
              <w:t>(R × 0,41) − (16 055,05 × N)</w:t>
            </w:r>
            <w:r w:rsidRPr="002E5F2B">
              <w:br/>
            </w:r>
          </w:p>
        </w:tc>
      </w:tr>
      <w:tr w:rsidR="00FB15F7" w:rsidRPr="00FB15F7" w14:paraId="063900BB" w14:textId="77777777" w:rsidTr="002D36DB">
        <w:trPr>
          <w:tblCellSpacing w:w="15" w:type="dxa"/>
        </w:trPr>
        <w:tc>
          <w:tcPr>
            <w:tcW w:w="0" w:type="auto"/>
            <w:tcBorders>
              <w:top w:val="nil"/>
              <w:left w:val="nil"/>
              <w:bottom w:val="nil"/>
              <w:right w:val="single" w:sz="6" w:space="0" w:color="000000"/>
            </w:tcBorders>
            <w:shd w:val="clear" w:color="auto" w:fill="FFFFFF"/>
            <w:tcMar>
              <w:top w:w="75" w:type="dxa"/>
              <w:left w:w="75" w:type="dxa"/>
              <w:bottom w:w="75" w:type="dxa"/>
              <w:right w:w="75" w:type="dxa"/>
            </w:tcMar>
            <w:vAlign w:val="center"/>
            <w:hideMark/>
          </w:tcPr>
          <w:p w14:paraId="7FEC1886" w14:textId="77777777" w:rsidR="0036203B" w:rsidRPr="002E5F2B" w:rsidRDefault="0036203B" w:rsidP="002E5F2B">
            <w:pPr>
              <w:pStyle w:val="Paragraphe-CGPC"/>
            </w:pPr>
            <w:r w:rsidRPr="002E5F2B">
              <w:lastRenderedPageBreak/>
              <w:t>Supérieure à 180 294 €</w:t>
            </w:r>
            <w:r w:rsidRPr="002E5F2B">
              <w:br/>
            </w:r>
          </w:p>
        </w:tc>
        <w:tc>
          <w:tcPr>
            <w:tcW w:w="0" w:type="auto"/>
            <w:tcBorders>
              <w:top w:val="nil"/>
              <w:left w:val="nil"/>
              <w:bottom w:val="nil"/>
              <w:right w:val="nil"/>
            </w:tcBorders>
            <w:shd w:val="clear" w:color="auto" w:fill="FFFFFF"/>
            <w:tcMar>
              <w:top w:w="75" w:type="dxa"/>
              <w:left w:w="75" w:type="dxa"/>
              <w:bottom w:w="75" w:type="dxa"/>
              <w:right w:w="75" w:type="dxa"/>
            </w:tcMar>
            <w:vAlign w:val="center"/>
            <w:hideMark/>
          </w:tcPr>
          <w:p w14:paraId="1F75D354" w14:textId="77777777" w:rsidR="0036203B" w:rsidRPr="002E5F2B" w:rsidRDefault="0036203B" w:rsidP="002E5F2B">
            <w:pPr>
              <w:pStyle w:val="Paragraphe-CGPC"/>
            </w:pPr>
            <w:r w:rsidRPr="002E5F2B">
              <w:t>(R × 0,45) − (23 266,81 × N)</w:t>
            </w:r>
          </w:p>
        </w:tc>
      </w:tr>
    </w:tbl>
    <w:p w14:paraId="67893967" w14:textId="77777777" w:rsidR="0036203B" w:rsidRPr="00E71E9F" w:rsidRDefault="0036203B" w:rsidP="002E5F2B">
      <w:pPr>
        <w:pStyle w:val="Paragraphe-CGPC"/>
        <w:rPr>
          <w:rStyle w:val="lev"/>
          <w:b w:val="0"/>
          <w:bCs/>
        </w:rPr>
      </w:pPr>
    </w:p>
    <w:p w14:paraId="4C5E6999" w14:textId="2BBA75D1" w:rsidR="0036203B" w:rsidRPr="00E71E9F" w:rsidRDefault="00550D26" w:rsidP="002E5F2B">
      <w:pPr>
        <w:pStyle w:val="Paragraphe-CGPC"/>
      </w:pPr>
      <w:r w:rsidRPr="00550D26">
        <w:rPr>
          <w:noProof/>
        </w:rPr>
        <w:drawing>
          <wp:inline distT="0" distB="0" distL="0" distR="0" wp14:anchorId="2B468B46" wp14:editId="4C59C6AF">
            <wp:extent cx="7182852" cy="3562847"/>
            <wp:effectExtent l="0" t="0" r="0" b="0"/>
            <wp:docPr id="10837624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62413" name=""/>
                    <pic:cNvPicPr/>
                  </pic:nvPicPr>
                  <pic:blipFill>
                    <a:blip r:embed="rId20"/>
                    <a:stretch>
                      <a:fillRect/>
                    </a:stretch>
                  </pic:blipFill>
                  <pic:spPr>
                    <a:xfrm>
                      <a:off x="0" y="0"/>
                      <a:ext cx="7182852" cy="3562847"/>
                    </a:xfrm>
                    <a:prstGeom prst="rect">
                      <a:avLst/>
                    </a:prstGeom>
                  </pic:spPr>
                </pic:pic>
              </a:graphicData>
            </a:graphic>
          </wp:inline>
        </w:drawing>
      </w:r>
    </w:p>
    <w:p w14:paraId="2BA3A151" w14:textId="3B82A644" w:rsidR="00CB575E" w:rsidRPr="009201C0" w:rsidRDefault="00CB575E" w:rsidP="002E5F2B">
      <w:pPr>
        <w:pStyle w:val="Titre2"/>
        <w:numPr>
          <w:ilvl w:val="0"/>
          <w:numId w:val="31"/>
        </w:numPr>
      </w:pPr>
      <w:bookmarkStart w:id="70" w:name="_Toc202191578"/>
      <w:bookmarkStart w:id="71" w:name="_Toc207183036"/>
      <w:bookmarkStart w:id="72" w:name="_Toc233204952"/>
      <w:r w:rsidRPr="009201C0">
        <w:t>Plafonnement des effets du quotient familial</w:t>
      </w:r>
      <w:bookmarkEnd w:id="70"/>
      <w:bookmarkEnd w:id="71"/>
      <w:bookmarkEnd w:id="72"/>
      <w:r w:rsidRPr="009201C0">
        <w:t> </w:t>
      </w:r>
    </w:p>
    <w:p w14:paraId="3F706D61" w14:textId="17B53848" w:rsidR="00CB575E" w:rsidRPr="009201C0" w:rsidRDefault="00CB575E" w:rsidP="002E5F2B">
      <w:pPr>
        <w:pStyle w:val="Paragraphe-CGPC"/>
      </w:pPr>
      <w:r w:rsidRPr="009201C0">
        <w:t xml:space="preserve">Le plafonnement du quotient familial permet de limiter l’avantage fiscal lié au nombre de parts accordé à un foyer. Chaque année, les plafonds peuvent être modifiés. Pour les revenus </w:t>
      </w:r>
      <w:r w:rsidRPr="00BF2476">
        <w:rPr>
          <w:strike/>
          <w:color w:val="EE0000"/>
        </w:rPr>
        <w:t>202</w:t>
      </w:r>
      <w:r w:rsidR="00074118" w:rsidRPr="00BF2476">
        <w:rPr>
          <w:strike/>
          <w:color w:val="EE0000"/>
        </w:rPr>
        <w:t>3</w:t>
      </w:r>
      <w:r w:rsidRPr="009201C0">
        <w:t xml:space="preserve"> </w:t>
      </w:r>
      <w:r w:rsidR="00625378">
        <w:t xml:space="preserve">2025 </w:t>
      </w:r>
      <w:r w:rsidRPr="009201C0">
        <w:t xml:space="preserve">déclarés en </w:t>
      </w:r>
      <w:r w:rsidRPr="00BF2476">
        <w:rPr>
          <w:strike/>
          <w:color w:val="EE0000"/>
        </w:rPr>
        <w:t>202</w:t>
      </w:r>
      <w:r w:rsidR="00074118" w:rsidRPr="00BF2476">
        <w:rPr>
          <w:strike/>
          <w:color w:val="EE0000"/>
        </w:rPr>
        <w:t>4</w:t>
      </w:r>
      <w:r w:rsidR="00625378">
        <w:t xml:space="preserve"> 2026 </w:t>
      </w:r>
      <w:r w:rsidRPr="009201C0">
        <w:t>, le plafond de la réduction d’impôt liée au quotient familial est le suivant :</w:t>
      </w:r>
    </w:p>
    <w:p w14:paraId="5720EA9E" w14:textId="493DE65E" w:rsidR="00CB575E" w:rsidRPr="00BF2476" w:rsidRDefault="00CB575E" w:rsidP="002E5F2B">
      <w:pPr>
        <w:pStyle w:val="Paragraphe-CGPC"/>
        <w:rPr>
          <w:strike/>
          <w:color w:val="EE0000"/>
        </w:rPr>
      </w:pPr>
      <w:r w:rsidRPr="00BF2476">
        <w:rPr>
          <w:strike/>
          <w:color w:val="EE0000"/>
        </w:rPr>
        <w:t xml:space="preserve">1 </w:t>
      </w:r>
      <w:r w:rsidR="00074118" w:rsidRPr="00BF2476">
        <w:rPr>
          <w:strike/>
          <w:color w:val="EE0000"/>
        </w:rPr>
        <w:t>759</w:t>
      </w:r>
      <w:r w:rsidRPr="00BF2476">
        <w:rPr>
          <w:color w:val="EE0000"/>
        </w:rPr>
        <w:t xml:space="preserve"> </w:t>
      </w:r>
      <w:r w:rsidR="00E3004B">
        <w:t xml:space="preserve"> </w:t>
      </w:r>
      <w:r w:rsidR="007618D8">
        <w:t xml:space="preserve">1 </w:t>
      </w:r>
      <w:r w:rsidR="00F97F5F">
        <w:t>807</w:t>
      </w:r>
      <w:r w:rsidR="007618D8">
        <w:t xml:space="preserve"> </w:t>
      </w:r>
      <w:r w:rsidR="00E3004B">
        <w:t xml:space="preserve">€ </w:t>
      </w:r>
      <w:r w:rsidRPr="009201C0">
        <w:t xml:space="preserve">euros pour chaque demi-part </w:t>
      </w:r>
      <w:r w:rsidRPr="00BF2476">
        <w:rPr>
          <w:strike/>
          <w:color w:val="EE0000"/>
        </w:rPr>
        <w:t>supplémentaire</w:t>
      </w:r>
    </w:p>
    <w:p w14:paraId="24D59B13" w14:textId="209578C4" w:rsidR="00CB575E" w:rsidRPr="009201C0" w:rsidRDefault="00CB575E" w:rsidP="002E5F2B">
      <w:pPr>
        <w:pStyle w:val="Paragraphe-CGPC"/>
      </w:pPr>
      <w:r w:rsidRPr="00BF2476">
        <w:rPr>
          <w:strike/>
          <w:color w:val="EE0000"/>
        </w:rPr>
        <w:t>1 0</w:t>
      </w:r>
      <w:r w:rsidR="004B44FC" w:rsidRPr="00BF2476">
        <w:rPr>
          <w:strike/>
          <w:color w:val="EE0000"/>
        </w:rPr>
        <w:t>50</w:t>
      </w:r>
      <w:r w:rsidRPr="00BF2476">
        <w:rPr>
          <w:color w:val="EE0000"/>
        </w:rPr>
        <w:t xml:space="preserve"> </w:t>
      </w:r>
      <w:r w:rsidR="00E3004B">
        <w:t xml:space="preserve"> </w:t>
      </w:r>
      <w:r w:rsidR="006C2686">
        <w:t>1079</w:t>
      </w:r>
      <w:r w:rsidR="005633B6">
        <w:t xml:space="preserve"> </w:t>
      </w:r>
      <w:r w:rsidRPr="009201C0">
        <w:t xml:space="preserve">euros pour la demi-part supplémentaire pour les personnes vivant seules ayant élevé un enfant pendant au moins 5 </w:t>
      </w:r>
      <w:r w:rsidR="00991BAA">
        <w:t xml:space="preserve">ans </w:t>
      </w:r>
    </w:p>
    <w:p w14:paraId="31AADC0E" w14:textId="797BA728" w:rsidR="00CB575E" w:rsidRPr="009201C0" w:rsidRDefault="00074118" w:rsidP="002E5F2B">
      <w:pPr>
        <w:pStyle w:val="Paragraphe-CGPC"/>
      </w:pPr>
      <w:r w:rsidRPr="00BF2476">
        <w:rPr>
          <w:strike/>
          <w:color w:val="EE0000"/>
        </w:rPr>
        <w:lastRenderedPageBreak/>
        <w:t>4</w:t>
      </w:r>
      <w:r w:rsidR="00CB575E" w:rsidRPr="00BF2476">
        <w:rPr>
          <w:strike/>
          <w:color w:val="EE0000"/>
        </w:rPr>
        <w:t> </w:t>
      </w:r>
      <w:r w:rsidRPr="00BF2476">
        <w:rPr>
          <w:strike/>
          <w:color w:val="EE0000"/>
        </w:rPr>
        <w:t>14</w:t>
      </w:r>
      <w:r w:rsidR="00CB575E" w:rsidRPr="00BF2476">
        <w:rPr>
          <w:strike/>
          <w:color w:val="EE0000"/>
        </w:rPr>
        <w:t>9</w:t>
      </w:r>
      <w:r w:rsidR="00CB575E" w:rsidRPr="00BF2476">
        <w:rPr>
          <w:color w:val="EE0000"/>
        </w:rPr>
        <w:t xml:space="preserve"> </w:t>
      </w:r>
      <w:r w:rsidR="007E778C">
        <w:t xml:space="preserve"> 4 262 </w:t>
      </w:r>
      <w:r w:rsidR="00CB575E" w:rsidRPr="009201C0">
        <w:t>euros pour la part entière du premier enfant à charge pour les personnes séparées, célibataires ou divorcées qui élèvent seules leurs enfants</w:t>
      </w:r>
    </w:p>
    <w:p w14:paraId="02C8C8C0" w14:textId="77777777" w:rsidR="00CB575E" w:rsidRPr="009201C0" w:rsidRDefault="00CB575E" w:rsidP="00CB575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6BCA220C" w14:textId="153AEDF0" w:rsidR="00CB575E" w:rsidRPr="009201C0" w:rsidRDefault="00CB575E" w:rsidP="002E5F2B">
      <w:pPr>
        <w:pStyle w:val="Titre2"/>
      </w:pPr>
      <w:bookmarkStart w:id="73" w:name="_Toc202191579"/>
      <w:bookmarkStart w:id="74" w:name="_Toc207183037"/>
      <w:bookmarkStart w:id="75" w:name="_Toc233204953"/>
      <w:r w:rsidRPr="009201C0">
        <w:t>Calcul de l’impôt</w:t>
      </w:r>
      <w:bookmarkEnd w:id="73"/>
      <w:bookmarkEnd w:id="74"/>
      <w:bookmarkEnd w:id="75"/>
      <w:r w:rsidRPr="009201C0">
        <w:t> </w:t>
      </w:r>
    </w:p>
    <w:p w14:paraId="44891E52" w14:textId="77777777" w:rsidR="00CB575E" w:rsidRPr="009201C0" w:rsidRDefault="00CB575E" w:rsidP="002E5F2B">
      <w:pPr>
        <w:pStyle w:val="Paragraphe-CGPC"/>
      </w:pPr>
      <w:r w:rsidRPr="009201C0">
        <w:rPr>
          <w:rStyle w:val="lev"/>
          <w:b w:val="0"/>
          <w:bCs/>
        </w:rPr>
        <w:t>L’impôt à payer (ou exigible)</w:t>
      </w:r>
      <w:r w:rsidRPr="009201C0">
        <w:t> est calculé à partir de l’impôt brut corrigé – dans l’ordre – des éléments suivants :</w:t>
      </w:r>
    </w:p>
    <w:p w14:paraId="5B5D1936" w14:textId="0D09709B" w:rsidR="00CB575E" w:rsidRPr="009201C0" w:rsidRDefault="00CB575E" w:rsidP="002E5F2B">
      <w:pPr>
        <w:pStyle w:val="Paragraphe-CGPC"/>
        <w:numPr>
          <w:ilvl w:val="0"/>
          <w:numId w:val="22"/>
        </w:numPr>
      </w:pPr>
      <w:r w:rsidRPr="009201C0">
        <w:rPr>
          <w:rStyle w:val="lev"/>
          <w:b w:val="0"/>
          <w:bCs/>
        </w:rPr>
        <w:t>Plafonnement des effets du quotient familial</w:t>
      </w:r>
    </w:p>
    <w:p w14:paraId="1D9D1C43" w14:textId="77777777" w:rsidR="00CB575E" w:rsidRPr="009201C0" w:rsidRDefault="00CB575E" w:rsidP="002E5F2B">
      <w:pPr>
        <w:pStyle w:val="Paragraphe-CGPC"/>
      </w:pPr>
      <w:r w:rsidRPr="009201C0">
        <w:t>En fonction de la limite fixée annuellement pour chacune des demi-parts ou quart de parts additionnelles.</w:t>
      </w:r>
    </w:p>
    <w:p w14:paraId="2F52028B" w14:textId="13CA1CD9" w:rsidR="00CB575E" w:rsidRPr="009201C0" w:rsidRDefault="00CB575E" w:rsidP="002E5F2B">
      <w:pPr>
        <w:pStyle w:val="Paragraphe-CGPC"/>
        <w:numPr>
          <w:ilvl w:val="0"/>
          <w:numId w:val="22"/>
        </w:numPr>
      </w:pPr>
      <w:r w:rsidRPr="009201C0">
        <w:rPr>
          <w:rStyle w:val="lev"/>
          <w:b w:val="0"/>
          <w:bCs/>
        </w:rPr>
        <w:t>Décote</w:t>
      </w:r>
    </w:p>
    <w:p w14:paraId="2F0ABD8B" w14:textId="77777777" w:rsidR="00AF0D7E" w:rsidRDefault="004D0983" w:rsidP="004D0983">
      <w:pPr>
        <w:spacing w:before="100" w:beforeAutospacing="1" w:after="100" w:afterAutospacing="1" w:line="240" w:lineRule="auto"/>
        <w:jc w:val="left"/>
        <w:rPr>
          <w:rFonts w:cs="Open Sans"/>
          <w:bCs/>
          <w:color w:val="000000" w:themeColor="text1"/>
          <w:kern w:val="2"/>
          <w:sz w:val="32"/>
          <w:szCs w:val="24"/>
          <w14:ligatures w14:val="standardContextual"/>
        </w:rPr>
      </w:pPr>
      <w:r w:rsidRPr="00BF2476">
        <w:rPr>
          <w:rFonts w:cs="Open Sans"/>
          <w:bCs/>
          <w:color w:val="000000" w:themeColor="text1"/>
          <w:kern w:val="2"/>
          <w:sz w:val="32"/>
          <w:szCs w:val="24"/>
          <w14:ligatures w14:val="standardContextual"/>
        </w:rPr>
        <w:t xml:space="preserve">Au titre de l’impôt </w:t>
      </w:r>
      <w:r w:rsidR="00415D41" w:rsidRPr="00BF2476">
        <w:rPr>
          <w:rFonts w:cs="Open Sans"/>
          <w:bCs/>
          <w:color w:val="000000" w:themeColor="text1"/>
          <w:kern w:val="2"/>
          <w:sz w:val="32"/>
          <w:szCs w:val="24"/>
          <w14:ligatures w14:val="standardContextual"/>
        </w:rPr>
        <w:t xml:space="preserve">sur les revenus </w:t>
      </w:r>
      <w:r w:rsidRPr="00BF2476">
        <w:rPr>
          <w:rFonts w:cs="Open Sans"/>
          <w:bCs/>
          <w:strike/>
          <w:color w:val="EE0000"/>
          <w:kern w:val="2"/>
          <w:sz w:val="32"/>
          <w:szCs w:val="24"/>
          <w14:ligatures w14:val="standardContextual"/>
        </w:rPr>
        <w:t>2024</w:t>
      </w:r>
      <w:r w:rsidR="009044E2">
        <w:rPr>
          <w:rFonts w:cs="Open Sans"/>
          <w:bCs/>
          <w:strike/>
          <w:color w:val="EE0000"/>
          <w:kern w:val="2"/>
          <w:sz w:val="32"/>
          <w:szCs w:val="24"/>
          <w14:ligatures w14:val="standardContextual"/>
        </w:rPr>
        <w:t xml:space="preserve"> </w:t>
      </w:r>
      <w:r w:rsidR="009044E2" w:rsidRPr="00BF2476">
        <w:rPr>
          <w:rFonts w:cs="Open Sans"/>
          <w:bCs/>
          <w:color w:val="EE0000"/>
          <w:kern w:val="2"/>
          <w:sz w:val="32"/>
          <w:szCs w:val="24"/>
          <w14:ligatures w14:val="standardContextual"/>
        </w:rPr>
        <w:t xml:space="preserve">2025 </w:t>
      </w:r>
      <w:r w:rsidRPr="00BF2476">
        <w:rPr>
          <w:rFonts w:cs="Open Sans"/>
          <w:bCs/>
          <w:color w:val="000000" w:themeColor="text1"/>
          <w:kern w:val="2"/>
          <w:sz w:val="32"/>
          <w:szCs w:val="24"/>
          <w14:ligatures w14:val="standardContextual"/>
        </w:rPr>
        <w:t xml:space="preserve">, la décote </w:t>
      </w:r>
      <w:r w:rsidR="00AF0D7E" w:rsidRPr="00AF0D7E">
        <w:rPr>
          <w:rFonts w:cs="Open Sans"/>
          <w:bCs/>
          <w:color w:val="000000" w:themeColor="text1"/>
          <w:kern w:val="2"/>
          <w:sz w:val="32"/>
          <w:szCs w:val="24"/>
          <w14:ligatures w14:val="standardContextual"/>
        </w:rPr>
        <w:t>s’</w:t>
      </w:r>
      <w:r w:rsidR="00AF0D7E">
        <w:rPr>
          <w:rFonts w:cs="Open Sans"/>
          <w:bCs/>
          <w:color w:val="000000" w:themeColor="text1"/>
          <w:kern w:val="2"/>
          <w:sz w:val="32"/>
          <w:szCs w:val="24"/>
          <w14:ligatures w14:val="standardContextual"/>
        </w:rPr>
        <w:t xml:space="preserve">applique </w:t>
      </w:r>
      <w:r w:rsidR="00AF0D7E" w:rsidRPr="00AF0D7E">
        <w:rPr>
          <w:rFonts w:cs="Open Sans"/>
          <w:bCs/>
          <w:color w:val="000000" w:themeColor="text1"/>
          <w:kern w:val="2"/>
          <w:sz w:val="32"/>
          <w:szCs w:val="24"/>
          <w14:ligatures w14:val="standardContextual"/>
        </w:rPr>
        <w:t xml:space="preserve"> </w:t>
      </w:r>
      <w:r w:rsidR="00AF0D7E">
        <w:rPr>
          <w:rFonts w:cs="Open Sans"/>
          <w:bCs/>
          <w:color w:val="000000" w:themeColor="text1"/>
          <w:kern w:val="2"/>
          <w:sz w:val="32"/>
          <w:szCs w:val="24"/>
          <w14:ligatures w14:val="standardContextual"/>
        </w:rPr>
        <w:t xml:space="preserve">lorsque </w:t>
      </w:r>
      <w:r w:rsidR="00AF0D7E" w:rsidRPr="00AF0D7E">
        <w:rPr>
          <w:rFonts w:cs="Open Sans"/>
          <w:bCs/>
          <w:color w:val="000000" w:themeColor="text1"/>
          <w:kern w:val="2"/>
          <w:sz w:val="32"/>
          <w:szCs w:val="24"/>
          <w14:ligatures w14:val="standardContextual"/>
        </w:rPr>
        <w:t xml:space="preserve"> le montant d’impôt sur le revenu brut est inférieur aux seuils ci-après :</w:t>
      </w:r>
    </w:p>
    <w:p w14:paraId="1701DEA0" w14:textId="5B6A8C97" w:rsidR="00AF0D7E" w:rsidRDefault="0034023F" w:rsidP="0034023F">
      <w:pPr>
        <w:pStyle w:val="Paragraphedeliste"/>
        <w:numPr>
          <w:ilvl w:val="0"/>
          <w:numId w:val="40"/>
        </w:numPr>
        <w:spacing w:before="100" w:beforeAutospacing="1" w:after="100" w:afterAutospacing="1" w:line="240" w:lineRule="auto"/>
        <w:jc w:val="left"/>
        <w:rPr>
          <w:rFonts w:cs="Open Sans"/>
          <w:bCs/>
          <w:color w:val="000000" w:themeColor="text1"/>
          <w:kern w:val="2"/>
          <w:sz w:val="32"/>
          <w:szCs w:val="24"/>
          <w14:ligatures w14:val="standardContextual"/>
        </w:rPr>
      </w:pPr>
      <w:r>
        <w:rPr>
          <w:rFonts w:cs="Open Sans"/>
          <w:bCs/>
          <w:color w:val="000000" w:themeColor="text1"/>
          <w:kern w:val="2"/>
          <w:sz w:val="32"/>
          <w:szCs w:val="24"/>
          <w14:ligatures w14:val="standardContextual"/>
        </w:rPr>
        <w:t xml:space="preserve">1 982 € </w:t>
      </w:r>
      <w:r w:rsidR="00333514">
        <w:rPr>
          <w:rFonts w:cs="Open Sans"/>
          <w:bCs/>
          <w:color w:val="000000" w:themeColor="text1"/>
          <w:kern w:val="2"/>
          <w:sz w:val="32"/>
          <w:szCs w:val="24"/>
          <w14:ligatures w14:val="standardContextual"/>
        </w:rPr>
        <w:t>(</w:t>
      </w:r>
      <w:r w:rsidR="00BB6C81">
        <w:rPr>
          <w:rFonts w:cs="Open Sans"/>
          <w:bCs/>
          <w:color w:val="000000" w:themeColor="text1"/>
          <w:kern w:val="2"/>
          <w:sz w:val="32"/>
          <w:szCs w:val="24"/>
          <w14:ligatures w14:val="standardContextual"/>
        </w:rPr>
        <w:t>célibataire, veuf ou divorcé</w:t>
      </w:r>
      <w:r w:rsidR="00333514">
        <w:rPr>
          <w:rFonts w:cs="Open Sans"/>
          <w:bCs/>
          <w:color w:val="000000" w:themeColor="text1"/>
          <w:kern w:val="2"/>
          <w:sz w:val="32"/>
          <w:szCs w:val="24"/>
          <w14:ligatures w14:val="standardContextual"/>
        </w:rPr>
        <w:t>)</w:t>
      </w:r>
    </w:p>
    <w:p w14:paraId="0541DBBF" w14:textId="3EB41E04" w:rsidR="00BB6C81" w:rsidRPr="00BF2476" w:rsidRDefault="0083503B" w:rsidP="00BF2476">
      <w:pPr>
        <w:pStyle w:val="Paragraphedeliste"/>
        <w:numPr>
          <w:ilvl w:val="0"/>
          <w:numId w:val="40"/>
        </w:numPr>
        <w:spacing w:before="100" w:beforeAutospacing="1" w:after="100" w:afterAutospacing="1" w:line="240" w:lineRule="auto"/>
        <w:jc w:val="left"/>
        <w:rPr>
          <w:rFonts w:cs="Open Sans"/>
          <w:bCs/>
          <w:color w:val="000000" w:themeColor="text1"/>
          <w:kern w:val="2"/>
          <w:sz w:val="32"/>
          <w:szCs w:val="24"/>
          <w14:ligatures w14:val="standardContextual"/>
        </w:rPr>
      </w:pPr>
      <w:r>
        <w:rPr>
          <w:rFonts w:cs="Open Sans"/>
          <w:bCs/>
          <w:color w:val="000000" w:themeColor="text1"/>
          <w:kern w:val="2"/>
          <w:sz w:val="32"/>
          <w:szCs w:val="24"/>
          <w14:ligatures w14:val="standardContextual"/>
        </w:rPr>
        <w:t>3 277 €</w:t>
      </w:r>
      <w:r w:rsidR="00333514">
        <w:rPr>
          <w:rFonts w:cs="Open Sans"/>
          <w:bCs/>
          <w:color w:val="000000" w:themeColor="text1"/>
          <w:kern w:val="2"/>
          <w:sz w:val="32"/>
          <w:szCs w:val="24"/>
          <w14:ligatures w14:val="standardContextual"/>
        </w:rPr>
        <w:t xml:space="preserve"> (</w:t>
      </w:r>
      <w:r>
        <w:rPr>
          <w:rFonts w:cs="Open Sans"/>
          <w:bCs/>
          <w:color w:val="000000" w:themeColor="text1"/>
          <w:kern w:val="2"/>
          <w:sz w:val="32"/>
          <w:szCs w:val="24"/>
          <w14:ligatures w14:val="standardContextual"/>
        </w:rPr>
        <w:t>couple marié, pacsé soumis à une imposition commune</w:t>
      </w:r>
      <w:r w:rsidR="00333514">
        <w:rPr>
          <w:rFonts w:cs="Open Sans"/>
          <w:bCs/>
          <w:color w:val="000000" w:themeColor="text1"/>
          <w:kern w:val="2"/>
          <w:sz w:val="32"/>
          <w:szCs w:val="24"/>
          <w14:ligatures w14:val="standardContextual"/>
        </w:rPr>
        <w:t>)</w:t>
      </w:r>
    </w:p>
    <w:p w14:paraId="745EB096" w14:textId="17E5E2FA" w:rsidR="004D0983" w:rsidRPr="00BF2476" w:rsidRDefault="00333514" w:rsidP="004D0983">
      <w:pPr>
        <w:spacing w:before="100" w:beforeAutospacing="1" w:after="100" w:afterAutospacing="1" w:line="240" w:lineRule="auto"/>
        <w:jc w:val="left"/>
        <w:rPr>
          <w:rFonts w:cs="Open Sans"/>
          <w:bCs/>
          <w:color w:val="000000" w:themeColor="text1"/>
          <w:kern w:val="2"/>
          <w:sz w:val="32"/>
          <w:szCs w:val="24"/>
          <w14:ligatures w14:val="standardContextual"/>
        </w:rPr>
      </w:pPr>
      <w:r>
        <w:rPr>
          <w:rFonts w:cs="Open Sans"/>
          <w:bCs/>
          <w:color w:val="000000" w:themeColor="text1"/>
          <w:kern w:val="2"/>
          <w:sz w:val="32"/>
          <w:szCs w:val="24"/>
          <w14:ligatures w14:val="standardContextual"/>
        </w:rPr>
        <w:t xml:space="preserve">La décote </w:t>
      </w:r>
      <w:r w:rsidR="004D0983" w:rsidRPr="00BF2476">
        <w:rPr>
          <w:rFonts w:cs="Open Sans"/>
          <w:bCs/>
          <w:color w:val="000000" w:themeColor="text1"/>
          <w:kern w:val="2"/>
          <w:sz w:val="32"/>
          <w:szCs w:val="24"/>
          <w14:ligatures w14:val="standardContextual"/>
        </w:rPr>
        <w:t>est égale à la différence :</w:t>
      </w:r>
    </w:p>
    <w:p w14:paraId="6FA95AE2" w14:textId="27AFA989" w:rsidR="004D0983" w:rsidRPr="00BF2476" w:rsidRDefault="004D0983" w:rsidP="004D0983">
      <w:pPr>
        <w:numPr>
          <w:ilvl w:val="0"/>
          <w:numId w:val="23"/>
        </w:numPr>
        <w:spacing w:before="100" w:beforeAutospacing="1" w:after="100" w:afterAutospacing="1" w:line="240" w:lineRule="auto"/>
        <w:jc w:val="left"/>
        <w:rPr>
          <w:rFonts w:cs="Open Sans"/>
          <w:bCs/>
          <w:strike/>
          <w:color w:val="EE0000"/>
          <w:kern w:val="2"/>
          <w:sz w:val="32"/>
          <w:szCs w:val="24"/>
          <w14:ligatures w14:val="standardContextual"/>
        </w:rPr>
      </w:pPr>
      <w:r w:rsidRPr="00BF2476">
        <w:rPr>
          <w:rFonts w:cs="Open Sans"/>
          <w:bCs/>
          <w:color w:val="000000" w:themeColor="text1"/>
          <w:kern w:val="2"/>
          <w:sz w:val="32"/>
          <w:szCs w:val="24"/>
          <w14:ligatures w14:val="standardContextual"/>
        </w:rPr>
        <w:t xml:space="preserve">entre </w:t>
      </w:r>
      <w:r w:rsidRPr="00BF2476">
        <w:rPr>
          <w:rFonts w:cs="Open Sans"/>
          <w:bCs/>
          <w:strike/>
          <w:color w:val="EE0000"/>
          <w:kern w:val="2"/>
          <w:sz w:val="32"/>
          <w:szCs w:val="24"/>
          <w14:ligatures w14:val="standardContextual"/>
        </w:rPr>
        <w:t>8</w:t>
      </w:r>
      <w:r w:rsidR="00415D41" w:rsidRPr="00BF2476">
        <w:rPr>
          <w:rFonts w:cs="Open Sans"/>
          <w:bCs/>
          <w:strike/>
          <w:color w:val="EE0000"/>
          <w:kern w:val="2"/>
          <w:sz w:val="32"/>
          <w:szCs w:val="24"/>
          <w14:ligatures w14:val="standardContextual"/>
        </w:rPr>
        <w:t>89</w:t>
      </w:r>
      <w:r w:rsidRPr="00BF2476">
        <w:rPr>
          <w:rFonts w:cs="Open Sans"/>
          <w:bCs/>
          <w:strike/>
          <w:color w:val="EE0000"/>
          <w:kern w:val="2"/>
          <w:sz w:val="32"/>
          <w:szCs w:val="24"/>
          <w14:ligatures w14:val="standardContextual"/>
        </w:rPr>
        <w:t xml:space="preserve"> €</w:t>
      </w:r>
      <w:r w:rsidRPr="00BF2476">
        <w:rPr>
          <w:rFonts w:cs="Open Sans"/>
          <w:bCs/>
          <w:color w:val="EE0000"/>
          <w:kern w:val="2"/>
          <w:sz w:val="32"/>
          <w:szCs w:val="24"/>
          <w14:ligatures w14:val="standardContextual"/>
        </w:rPr>
        <w:t xml:space="preserve"> </w:t>
      </w:r>
      <w:r w:rsidR="00A27518">
        <w:rPr>
          <w:rFonts w:cs="Open Sans"/>
          <w:bCs/>
          <w:color w:val="000000" w:themeColor="text1"/>
          <w:kern w:val="2"/>
          <w:sz w:val="32"/>
          <w:szCs w:val="24"/>
          <w14:ligatures w14:val="standardContextual"/>
        </w:rPr>
        <w:t xml:space="preserve">897 € </w:t>
      </w:r>
      <w:r w:rsidRPr="00BF2476">
        <w:rPr>
          <w:rFonts w:cs="Open Sans"/>
          <w:bCs/>
          <w:color w:val="000000" w:themeColor="text1"/>
          <w:kern w:val="2"/>
          <w:sz w:val="32"/>
          <w:szCs w:val="24"/>
          <w14:ligatures w14:val="standardContextual"/>
        </w:rPr>
        <w:t xml:space="preserve">et 45,25 % de l'impôt dû pour les célibataires, divorcés, séparés ou veufs </w:t>
      </w:r>
      <w:r w:rsidRPr="00BF2476">
        <w:rPr>
          <w:rFonts w:cs="Open Sans"/>
          <w:bCs/>
          <w:strike/>
          <w:color w:val="EE0000"/>
          <w:kern w:val="2"/>
          <w:sz w:val="32"/>
          <w:szCs w:val="24"/>
          <w14:ligatures w14:val="standardContextual"/>
        </w:rPr>
        <w:t>dont l'impôt brut relatif à leurs revenus de 202</w:t>
      </w:r>
      <w:r w:rsidR="00415D41" w:rsidRPr="00BF2476">
        <w:rPr>
          <w:rFonts w:cs="Open Sans"/>
          <w:bCs/>
          <w:strike/>
          <w:color w:val="EE0000"/>
          <w:kern w:val="2"/>
          <w:sz w:val="32"/>
          <w:szCs w:val="24"/>
          <w14:ligatures w14:val="standardContextual"/>
        </w:rPr>
        <w:t>4</w:t>
      </w:r>
      <w:r w:rsidRPr="00BF2476">
        <w:rPr>
          <w:rFonts w:cs="Open Sans"/>
          <w:bCs/>
          <w:strike/>
          <w:color w:val="EE0000"/>
          <w:kern w:val="2"/>
          <w:sz w:val="32"/>
          <w:szCs w:val="24"/>
          <w14:ligatures w14:val="standardContextual"/>
        </w:rPr>
        <w:t xml:space="preserve"> est inférieur à 1 9</w:t>
      </w:r>
      <w:r w:rsidR="00415D41" w:rsidRPr="00BF2476">
        <w:rPr>
          <w:rFonts w:cs="Open Sans"/>
          <w:bCs/>
          <w:strike/>
          <w:color w:val="EE0000"/>
          <w:kern w:val="2"/>
          <w:sz w:val="32"/>
          <w:szCs w:val="24"/>
          <w14:ligatures w14:val="standardContextual"/>
        </w:rPr>
        <w:t>64</w:t>
      </w:r>
      <w:r w:rsidRPr="00BF2476">
        <w:rPr>
          <w:rFonts w:cs="Open Sans"/>
          <w:bCs/>
          <w:strike/>
          <w:color w:val="EE0000"/>
          <w:kern w:val="2"/>
          <w:sz w:val="32"/>
          <w:szCs w:val="24"/>
          <w14:ligatures w14:val="standardContextual"/>
        </w:rPr>
        <w:t xml:space="preserve"> € ;</w:t>
      </w:r>
    </w:p>
    <w:p w14:paraId="49F049DF" w14:textId="5D9D2DCD" w:rsidR="002078D8" w:rsidRPr="00BF2476" w:rsidRDefault="004D0983" w:rsidP="00BF2476">
      <w:pPr>
        <w:shd w:val="clear" w:color="auto" w:fill="FFFFFF"/>
        <w:spacing w:after="0" w:line="240" w:lineRule="auto"/>
        <w:jc w:val="left"/>
        <w:rPr>
          <w:rFonts w:cs="Open Sans"/>
          <w:color w:val="000000" w:themeColor="text1"/>
          <w:sz w:val="32"/>
        </w:rPr>
      </w:pPr>
      <w:r w:rsidRPr="00BF2476">
        <w:rPr>
          <w:rFonts w:cs="Open Sans"/>
          <w:color w:val="000000" w:themeColor="text1"/>
          <w:kern w:val="2"/>
          <w:sz w:val="32"/>
          <w:szCs w:val="24"/>
          <w14:ligatures w14:val="standardContextual"/>
        </w:rPr>
        <w:t xml:space="preserve">entre </w:t>
      </w:r>
      <w:r w:rsidRPr="00BF2476">
        <w:rPr>
          <w:rFonts w:cs="Open Sans"/>
          <w:strike/>
          <w:color w:val="EE0000"/>
          <w:kern w:val="2"/>
          <w:sz w:val="32"/>
          <w:szCs w:val="24"/>
          <w14:ligatures w14:val="standardContextual"/>
        </w:rPr>
        <w:t>1 4</w:t>
      </w:r>
      <w:r w:rsidR="00415D41" w:rsidRPr="00BF2476">
        <w:rPr>
          <w:rFonts w:cs="Open Sans"/>
          <w:strike/>
          <w:color w:val="EE0000"/>
          <w:kern w:val="2"/>
          <w:sz w:val="32"/>
          <w:szCs w:val="24"/>
          <w14:ligatures w14:val="standardContextual"/>
        </w:rPr>
        <w:t>70</w:t>
      </w:r>
      <w:r w:rsidRPr="00BF2476">
        <w:rPr>
          <w:rFonts w:cs="Open Sans"/>
          <w:strike/>
          <w:color w:val="EE0000"/>
          <w:kern w:val="2"/>
          <w:sz w:val="32"/>
          <w:szCs w:val="24"/>
          <w14:ligatures w14:val="standardContextual"/>
        </w:rPr>
        <w:t xml:space="preserve"> €</w:t>
      </w:r>
      <w:r w:rsidRPr="00BF2476">
        <w:rPr>
          <w:rFonts w:cs="Open Sans"/>
          <w:color w:val="EE0000"/>
          <w:kern w:val="2"/>
          <w:sz w:val="32"/>
          <w:szCs w:val="24"/>
          <w14:ligatures w14:val="standardContextual"/>
        </w:rPr>
        <w:t xml:space="preserve"> </w:t>
      </w:r>
      <w:r w:rsidR="005E6F80" w:rsidRPr="001C1590">
        <w:rPr>
          <w:rFonts w:cs="Open Sans"/>
          <w:color w:val="000000" w:themeColor="text1"/>
          <w:kern w:val="2"/>
          <w:sz w:val="32"/>
          <w:szCs w:val="24"/>
          <w14:ligatures w14:val="standardContextual"/>
        </w:rPr>
        <w:t>1 4</w:t>
      </w:r>
      <w:r w:rsidR="001C1590" w:rsidRPr="001C1590">
        <w:rPr>
          <w:rFonts w:cs="Open Sans"/>
          <w:color w:val="000000" w:themeColor="text1"/>
          <w:kern w:val="2"/>
          <w:sz w:val="32"/>
          <w:szCs w:val="24"/>
          <w14:ligatures w14:val="standardContextual"/>
        </w:rPr>
        <w:t xml:space="preserve">83 € </w:t>
      </w:r>
      <w:r w:rsidRPr="00BF2476">
        <w:rPr>
          <w:rFonts w:cs="Open Sans"/>
          <w:color w:val="000000" w:themeColor="text1"/>
          <w:kern w:val="2"/>
          <w:sz w:val="32"/>
          <w:szCs w:val="24"/>
          <w14:ligatures w14:val="standardContextual"/>
        </w:rPr>
        <w:t xml:space="preserve">et 45,25 % de l'impôt dû pour les personnes mariées ou pacsées soumises à une imposition commune </w:t>
      </w:r>
      <w:r w:rsidR="002078D8" w:rsidRPr="00BF2476">
        <w:rPr>
          <w:rFonts w:cs="Open Sans"/>
          <w:bCs/>
          <w:color w:val="000000" w:themeColor="text1"/>
          <w:kern w:val="2"/>
          <w:sz w:val="32"/>
          <w:szCs w:val="24"/>
          <w14:ligatures w14:val="standardContextual"/>
        </w:rPr>
        <w:t>Exemple</w:t>
      </w:r>
    </w:p>
    <w:p w14:paraId="224ED099" w14:textId="5AF92172" w:rsidR="002078D8" w:rsidRPr="00BF2476" w:rsidRDefault="007D1AF5" w:rsidP="00BF2476">
      <w:pPr>
        <w:pStyle w:val="NormalWeb"/>
        <w:shd w:val="clear" w:color="auto" w:fill="FFFFFF"/>
        <w:spacing w:before="0" w:beforeAutospacing="0" w:after="0" w:afterAutospacing="0"/>
        <w:rPr>
          <w:rFonts w:ascii="Open Sans" w:eastAsiaTheme="minorHAnsi" w:hAnsi="Open Sans" w:cs="Open Sans"/>
          <w:bCs/>
          <w:color w:val="000000" w:themeColor="text1"/>
          <w:kern w:val="2"/>
          <w:sz w:val="32"/>
          <w:lang w:eastAsia="en-US"/>
          <w14:ligatures w14:val="standardContextual"/>
        </w:rPr>
      </w:pPr>
      <w:r>
        <w:rPr>
          <w:rFonts w:ascii="Open Sans" w:eastAsiaTheme="minorHAnsi" w:hAnsi="Open Sans" w:cs="Open Sans"/>
          <w:bCs/>
          <w:color w:val="000000" w:themeColor="text1"/>
          <w:kern w:val="2"/>
          <w:sz w:val="32"/>
          <w:lang w:eastAsia="en-US"/>
          <w14:ligatures w14:val="standardContextual"/>
        </w:rPr>
        <w:t>Un</w:t>
      </w:r>
      <w:r w:rsidR="002078D8" w:rsidRPr="00BF2476">
        <w:rPr>
          <w:rFonts w:ascii="Open Sans" w:eastAsiaTheme="minorHAnsi" w:hAnsi="Open Sans" w:cs="Open Sans"/>
          <w:bCs/>
          <w:color w:val="000000" w:themeColor="text1"/>
          <w:kern w:val="2"/>
          <w:sz w:val="32"/>
          <w:lang w:eastAsia="en-US"/>
          <w14:ligatures w14:val="standardContextual"/>
        </w:rPr>
        <w:t xml:space="preserve"> couple, soumis à imposition commune, </w:t>
      </w:r>
      <w:r>
        <w:rPr>
          <w:rFonts w:ascii="Open Sans" w:eastAsiaTheme="minorHAnsi" w:hAnsi="Open Sans" w:cs="Open Sans"/>
          <w:bCs/>
          <w:color w:val="000000" w:themeColor="text1"/>
          <w:kern w:val="2"/>
          <w:sz w:val="32"/>
          <w:lang w:eastAsia="en-US"/>
          <w14:ligatures w14:val="standardContextual"/>
        </w:rPr>
        <w:t>avec un</w:t>
      </w:r>
      <w:r w:rsidR="002078D8" w:rsidRPr="00BF2476">
        <w:rPr>
          <w:rFonts w:ascii="Open Sans" w:eastAsiaTheme="minorHAnsi" w:hAnsi="Open Sans" w:cs="Open Sans"/>
          <w:color w:val="000000" w:themeColor="text1"/>
          <w:kern w:val="2"/>
          <w:sz w:val="32"/>
          <w:lang w:eastAsia="en-US"/>
          <w14:ligatures w14:val="standardContextual"/>
        </w:rPr>
        <w:t xml:space="preserve"> impôt avant décote </w:t>
      </w:r>
      <w:r>
        <w:rPr>
          <w:rFonts w:ascii="Open Sans" w:eastAsiaTheme="minorHAnsi" w:hAnsi="Open Sans" w:cs="Open Sans"/>
          <w:b/>
          <w:color w:val="000000" w:themeColor="text1"/>
          <w:kern w:val="2"/>
          <w:sz w:val="32"/>
          <w:lang w:eastAsia="en-US"/>
          <w14:ligatures w14:val="standardContextual"/>
        </w:rPr>
        <w:t>de</w:t>
      </w:r>
      <w:r w:rsidR="002078D8" w:rsidRPr="00BF2476">
        <w:rPr>
          <w:rFonts w:ascii="Open Sans" w:eastAsiaTheme="minorHAnsi" w:hAnsi="Open Sans" w:cs="Open Sans"/>
          <w:color w:val="000000" w:themeColor="text1"/>
          <w:kern w:val="2"/>
          <w:sz w:val="32"/>
          <w:lang w:eastAsia="en-US"/>
          <w14:ligatures w14:val="standardContextual"/>
        </w:rPr>
        <w:t xml:space="preserve"> 2 250 €.</w:t>
      </w:r>
    </w:p>
    <w:p w14:paraId="44A5363A" w14:textId="77777777" w:rsidR="002078D8" w:rsidRPr="00BF2476" w:rsidRDefault="002078D8" w:rsidP="00BF2476">
      <w:pPr>
        <w:pStyle w:val="NormalWeb"/>
        <w:shd w:val="clear" w:color="auto" w:fill="FFFFFF"/>
        <w:spacing w:before="0" w:beforeAutospacing="0" w:after="0" w:afterAutospacing="0"/>
        <w:ind w:firstLine="708"/>
        <w:rPr>
          <w:rFonts w:ascii="Open Sans" w:eastAsiaTheme="minorHAnsi" w:hAnsi="Open Sans" w:cs="Open Sans"/>
          <w:bCs/>
          <w:color w:val="000000" w:themeColor="text1"/>
          <w:kern w:val="2"/>
          <w:sz w:val="32"/>
          <w:lang w:eastAsia="en-US"/>
          <w14:ligatures w14:val="standardContextual"/>
        </w:rPr>
      </w:pPr>
      <w:r w:rsidRPr="00BF2476">
        <w:rPr>
          <w:rFonts w:ascii="Open Sans" w:eastAsiaTheme="minorHAnsi" w:hAnsi="Open Sans" w:cs="Open Sans"/>
          <w:bCs/>
          <w:color w:val="000000" w:themeColor="text1"/>
          <w:kern w:val="2"/>
          <w:sz w:val="32"/>
          <w:lang w:eastAsia="en-US"/>
          <w14:ligatures w14:val="standardContextual"/>
        </w:rPr>
        <w:t>La décote est égale à 1 483 – (2 250 × 45,25 %) = 1 483 – 1 018 = 465 €.</w:t>
      </w:r>
    </w:p>
    <w:p w14:paraId="111E3533" w14:textId="4EC5EF85" w:rsidR="002078D8" w:rsidRPr="00BF2476" w:rsidRDefault="007C792D" w:rsidP="00BF2476">
      <w:pPr>
        <w:pStyle w:val="NormalWeb"/>
        <w:shd w:val="clear" w:color="auto" w:fill="FFFFFF"/>
        <w:spacing w:before="0" w:beforeAutospacing="0" w:after="0" w:afterAutospacing="0"/>
        <w:ind w:firstLine="708"/>
        <w:rPr>
          <w:rFonts w:ascii="Open Sans" w:eastAsiaTheme="minorHAnsi" w:hAnsi="Open Sans" w:cs="Open Sans"/>
          <w:bCs/>
          <w:color w:val="000000" w:themeColor="text1"/>
          <w:kern w:val="2"/>
          <w:sz w:val="32"/>
          <w:lang w:eastAsia="en-US"/>
          <w14:ligatures w14:val="standardContextual"/>
        </w:rPr>
      </w:pPr>
      <w:r>
        <w:rPr>
          <w:rFonts w:ascii="Open Sans" w:eastAsiaTheme="minorHAnsi" w:hAnsi="Open Sans" w:cs="Open Sans"/>
          <w:bCs/>
          <w:color w:val="000000" w:themeColor="text1"/>
          <w:kern w:val="2"/>
          <w:sz w:val="32"/>
          <w:lang w:eastAsia="en-US"/>
          <w14:ligatures w14:val="standardContextual"/>
        </w:rPr>
        <w:t>L’</w:t>
      </w:r>
      <w:r w:rsidR="002078D8" w:rsidRPr="00BF2476">
        <w:rPr>
          <w:rFonts w:ascii="Open Sans" w:eastAsiaTheme="minorHAnsi" w:hAnsi="Open Sans" w:cs="Open Sans"/>
          <w:bCs/>
          <w:color w:val="000000" w:themeColor="text1"/>
          <w:kern w:val="2"/>
          <w:sz w:val="32"/>
          <w:lang w:eastAsia="en-US"/>
          <w14:ligatures w14:val="standardContextual"/>
        </w:rPr>
        <w:t xml:space="preserve"> impôt après décote s’élève à 2 250 € – 465 € = </w:t>
      </w:r>
      <w:r w:rsidR="002078D8" w:rsidRPr="00BF2476">
        <w:rPr>
          <w:rFonts w:ascii="Open Sans" w:eastAsiaTheme="minorHAnsi" w:hAnsi="Open Sans" w:cs="Open Sans"/>
          <w:color w:val="000000" w:themeColor="text1"/>
          <w:kern w:val="2"/>
          <w:sz w:val="32"/>
          <w:lang w:eastAsia="en-US"/>
          <w14:ligatures w14:val="standardContextual"/>
        </w:rPr>
        <w:t>1 785 €.</w:t>
      </w:r>
    </w:p>
    <w:p w14:paraId="0C3095F3" w14:textId="77777777" w:rsidR="001C1590" w:rsidRDefault="001C1590" w:rsidP="002E5F2B">
      <w:pPr>
        <w:pStyle w:val="Paragraphe-CGPC"/>
      </w:pPr>
    </w:p>
    <w:p w14:paraId="3C2F2B3E" w14:textId="77777777" w:rsidR="007C792D" w:rsidRDefault="007C792D" w:rsidP="002E5F2B">
      <w:pPr>
        <w:pStyle w:val="Paragraphe-CGPC"/>
      </w:pPr>
    </w:p>
    <w:p w14:paraId="4A7C5790" w14:textId="77777777" w:rsidR="007C792D" w:rsidRPr="00BF2476" w:rsidRDefault="007C792D" w:rsidP="00BF2476">
      <w:pPr>
        <w:pStyle w:val="Paragraphe-CGPC"/>
      </w:pPr>
    </w:p>
    <w:p w14:paraId="0A6DB0E8" w14:textId="757DCD27" w:rsidR="00CB575E" w:rsidRPr="00CB22AC" w:rsidRDefault="00CB575E" w:rsidP="002E5F2B">
      <w:pPr>
        <w:pStyle w:val="Titre2"/>
      </w:pPr>
      <w:bookmarkStart w:id="76" w:name="_Toc202191580"/>
      <w:bookmarkStart w:id="77" w:name="_Toc207183038"/>
      <w:bookmarkStart w:id="78" w:name="_Toc233204954"/>
      <w:r w:rsidRPr="00CB22AC">
        <w:lastRenderedPageBreak/>
        <w:t>Réductions et crédits d’impôt</w:t>
      </w:r>
      <w:bookmarkEnd w:id="76"/>
      <w:bookmarkEnd w:id="77"/>
      <w:bookmarkEnd w:id="78"/>
    </w:p>
    <w:p w14:paraId="2D287A6A" w14:textId="77777777" w:rsidR="00CB575E" w:rsidRPr="009201C0" w:rsidRDefault="00CB575E" w:rsidP="002E5F2B">
      <w:pPr>
        <w:pStyle w:val="Paragraphe-CGPC"/>
      </w:pPr>
      <w:r w:rsidRPr="009201C0">
        <w:rPr>
          <w:rStyle w:val="lev"/>
          <w:b w:val="0"/>
          <w:bCs/>
        </w:rPr>
        <w:t>Les réductions d’impôt</w:t>
      </w:r>
      <w:r w:rsidRPr="009201C0">
        <w:t> viennent en déduction de l’impôt calculé selon le barème progressif.</w:t>
      </w:r>
    </w:p>
    <w:p w14:paraId="04ED0EF3" w14:textId="77777777" w:rsidR="00CB575E" w:rsidRPr="009201C0" w:rsidRDefault="00CB575E" w:rsidP="002E5F2B">
      <w:pPr>
        <w:pStyle w:val="Paragraphe-CGPC"/>
      </w:pPr>
      <w:r w:rsidRPr="009201C0">
        <w:t>Dans le cas où le montant des réductions d’impôt est supérieur au montant de l’impôt, il ne peut y avoir de remboursement : l’impôt est donc ramené à 0 €.</w:t>
      </w:r>
    </w:p>
    <w:p w14:paraId="15633CF9" w14:textId="032CFBF2" w:rsidR="00CB575E" w:rsidRPr="009201C0" w:rsidRDefault="00CB575E" w:rsidP="002E5F2B">
      <w:pPr>
        <w:pStyle w:val="Paragraphe-CGPC"/>
      </w:pPr>
      <w:r w:rsidRPr="009201C0">
        <w:rPr>
          <w:rStyle w:val="lev"/>
          <w:b w:val="0"/>
          <w:bCs/>
        </w:rPr>
        <w:t>Le crédit d’impôt</w:t>
      </w:r>
      <w:r w:rsidRPr="009201C0">
        <w:t xml:space="preserve"> est </w:t>
      </w:r>
      <w:r w:rsidR="002950A2">
        <w:t>ensuite</w:t>
      </w:r>
      <w:r w:rsidRPr="009201C0">
        <w:t xml:space="preserve"> déduit de l’impôt calculé.</w:t>
      </w:r>
    </w:p>
    <w:p w14:paraId="1B26D4E1" w14:textId="77777777" w:rsidR="00CB575E" w:rsidRPr="009201C0" w:rsidRDefault="00CB575E" w:rsidP="002E5F2B">
      <w:pPr>
        <w:pStyle w:val="Paragraphe-CGPC"/>
      </w:pPr>
      <w:r w:rsidRPr="009201C0">
        <w:t>Contrairement à la réduction d’impôt, si le crédit d’impôt est supérieur au montant de l’impôt, le surplus (ou la totalité si le contribuable n’est pas imposable) donne lieu à remboursement.</w:t>
      </w:r>
    </w:p>
    <w:p w14:paraId="3BC18CF6" w14:textId="607348D2" w:rsidR="00CB575E" w:rsidRPr="009201C0" w:rsidRDefault="00CB575E" w:rsidP="002E5F2B">
      <w:pPr>
        <w:pStyle w:val="Paragraphe-CGPC"/>
      </w:pPr>
      <w:r w:rsidRPr="009201C0">
        <w:t xml:space="preserve">Les principales réductions </w:t>
      </w:r>
      <w:r w:rsidR="002950A2">
        <w:t xml:space="preserve">ou crédits </w:t>
      </w:r>
      <w:r w:rsidRPr="009201C0">
        <w:t>d’impôt concernent :</w:t>
      </w:r>
    </w:p>
    <w:p w14:paraId="7B84C02B" w14:textId="2622B397" w:rsidR="00CB575E" w:rsidRPr="00F91050" w:rsidRDefault="00CB575E" w:rsidP="00BF2476">
      <w:pPr>
        <w:pStyle w:val="Paragraphe-CGPC"/>
        <w:numPr>
          <w:ilvl w:val="0"/>
          <w:numId w:val="41"/>
        </w:numPr>
      </w:pPr>
      <w:r w:rsidRPr="009201C0">
        <w:t>Les </w:t>
      </w:r>
      <w:r w:rsidRPr="009201C0">
        <w:rPr>
          <w:rStyle w:val="lev"/>
          <w:b w:val="0"/>
          <w:bCs/>
        </w:rPr>
        <w:t xml:space="preserve">dons aux œuvres ou organismes d’intérêt </w:t>
      </w:r>
      <w:proofErr w:type="spellStart"/>
      <w:r w:rsidRPr="009201C0">
        <w:rPr>
          <w:rStyle w:val="lev"/>
          <w:b w:val="0"/>
          <w:bCs/>
        </w:rPr>
        <w:t>généra</w:t>
      </w:r>
      <w:r w:rsidRPr="009201C0">
        <w:t>Les</w:t>
      </w:r>
      <w:proofErr w:type="spellEnd"/>
      <w:r w:rsidRPr="009201C0">
        <w:t> </w:t>
      </w:r>
      <w:r w:rsidRPr="00734B75">
        <w:rPr>
          <w:rStyle w:val="lev"/>
          <w:b w:val="0"/>
          <w:bCs/>
        </w:rPr>
        <w:t>souscriptions en numéraire au capital de PME </w:t>
      </w:r>
      <w:r w:rsidRPr="00F91050">
        <w:t>;Les </w:t>
      </w:r>
      <w:r w:rsidRPr="00734B75">
        <w:rPr>
          <w:rStyle w:val="lev"/>
          <w:b w:val="0"/>
          <w:bCs/>
        </w:rPr>
        <w:t>souscriptions au capital de fonds communs de placement dans l’innovation (FCPI) et de fonds d’investissement de proximité (FIP) </w:t>
      </w:r>
      <w:r w:rsidRPr="00F91050">
        <w:t>;</w:t>
      </w:r>
    </w:p>
    <w:p w14:paraId="2ECD3918" w14:textId="77777777" w:rsidR="00CB575E" w:rsidRPr="00F91050" w:rsidRDefault="00CB575E" w:rsidP="00BF2476">
      <w:pPr>
        <w:pStyle w:val="Paragraphe-CGPC"/>
        <w:numPr>
          <w:ilvl w:val="0"/>
          <w:numId w:val="41"/>
        </w:numPr>
      </w:pPr>
      <w:r w:rsidRPr="00F91050">
        <w:t>Les </w:t>
      </w:r>
      <w:r w:rsidRPr="00F91050">
        <w:rPr>
          <w:rStyle w:val="lev"/>
          <w:b w:val="0"/>
          <w:bCs/>
        </w:rPr>
        <w:t>frais de scolarisation </w:t>
      </w:r>
      <w:r w:rsidRPr="00F91050">
        <w:t>des enfants à charge ;</w:t>
      </w:r>
    </w:p>
    <w:p w14:paraId="121410C8" w14:textId="77777777" w:rsidR="00CB575E" w:rsidRPr="00F91050" w:rsidRDefault="00CB575E" w:rsidP="00BF2476">
      <w:pPr>
        <w:pStyle w:val="Paragraphe-CGPC"/>
        <w:numPr>
          <w:ilvl w:val="0"/>
          <w:numId w:val="41"/>
        </w:numPr>
      </w:pPr>
      <w:r w:rsidRPr="00F91050">
        <w:t>Les </w:t>
      </w:r>
      <w:r w:rsidRPr="00F91050">
        <w:rPr>
          <w:rStyle w:val="lev"/>
          <w:b w:val="0"/>
          <w:bCs/>
        </w:rPr>
        <w:t>investissements outre-mer</w:t>
      </w:r>
      <w:r w:rsidRPr="00F91050">
        <w:t>;</w:t>
      </w:r>
    </w:p>
    <w:p w14:paraId="26D491F0" w14:textId="77777777" w:rsidR="00CB575E" w:rsidRPr="00F91050" w:rsidRDefault="00CB575E" w:rsidP="00BF2476">
      <w:pPr>
        <w:pStyle w:val="Paragraphe-CGPC"/>
        <w:numPr>
          <w:ilvl w:val="0"/>
          <w:numId w:val="41"/>
        </w:numPr>
      </w:pPr>
      <w:r w:rsidRPr="00F91050">
        <w:t>Certains </w:t>
      </w:r>
      <w:r w:rsidRPr="00F91050">
        <w:rPr>
          <w:rStyle w:val="lev"/>
          <w:b w:val="0"/>
          <w:bCs/>
        </w:rPr>
        <w:t>investissements immobiliers</w:t>
      </w:r>
      <w:r w:rsidRPr="00F91050">
        <w:t> dans les logements locatifs (dispositifs Duflot ou Pinel par exemple).</w:t>
      </w:r>
    </w:p>
    <w:p w14:paraId="43EF7064" w14:textId="77777777" w:rsidR="00CB575E" w:rsidRPr="00F91050" w:rsidRDefault="00CB575E" w:rsidP="00BF2476">
      <w:pPr>
        <w:pStyle w:val="Paragraphe-CGPC"/>
        <w:numPr>
          <w:ilvl w:val="0"/>
          <w:numId w:val="41"/>
        </w:numPr>
      </w:pPr>
      <w:r w:rsidRPr="00F91050">
        <w:t>Les principaux crédits d’impôt concernent :</w:t>
      </w:r>
    </w:p>
    <w:p w14:paraId="53B77BC0" w14:textId="77777777" w:rsidR="00CB575E" w:rsidRPr="00F91050" w:rsidRDefault="00CB575E" w:rsidP="00BF2476">
      <w:pPr>
        <w:pStyle w:val="Paragraphe-CGPC"/>
        <w:numPr>
          <w:ilvl w:val="0"/>
          <w:numId w:val="41"/>
        </w:numPr>
      </w:pPr>
      <w:r w:rsidRPr="00F91050">
        <w:t>Les </w:t>
      </w:r>
      <w:r w:rsidRPr="00F91050">
        <w:rPr>
          <w:rStyle w:val="lev"/>
          <w:b w:val="0"/>
          <w:bCs/>
        </w:rPr>
        <w:t>dépenses en faveur des aides aux personnes, </w:t>
      </w:r>
      <w:r w:rsidRPr="00F91050">
        <w:t>réalisées dans la résidence principale ;</w:t>
      </w:r>
    </w:p>
    <w:p w14:paraId="41136345" w14:textId="77777777" w:rsidR="00CB575E" w:rsidRPr="00F91050" w:rsidRDefault="00CB575E" w:rsidP="00BF2476">
      <w:pPr>
        <w:pStyle w:val="Paragraphe-CGPC"/>
        <w:numPr>
          <w:ilvl w:val="0"/>
          <w:numId w:val="41"/>
        </w:numPr>
      </w:pPr>
      <w:r w:rsidRPr="00F91050">
        <w:t>Les </w:t>
      </w:r>
      <w:r w:rsidRPr="00F91050">
        <w:rPr>
          <w:rStyle w:val="lev"/>
          <w:b w:val="0"/>
          <w:bCs/>
        </w:rPr>
        <w:t>frais de garde des enfants </w:t>
      </w:r>
      <w:r w:rsidRPr="00F91050">
        <w:t>de moins de 6 ans</w:t>
      </w:r>
      <w:r w:rsidRPr="00F91050">
        <w:rPr>
          <w:rStyle w:val="lev"/>
          <w:b w:val="0"/>
          <w:bCs/>
        </w:rPr>
        <w:t> ;</w:t>
      </w:r>
    </w:p>
    <w:p w14:paraId="1FD424D6" w14:textId="77777777" w:rsidR="00CB575E" w:rsidRPr="00F91050" w:rsidRDefault="00CB575E" w:rsidP="00BF2476">
      <w:pPr>
        <w:pStyle w:val="Paragraphe-CGPC"/>
        <w:numPr>
          <w:ilvl w:val="0"/>
          <w:numId w:val="41"/>
        </w:numPr>
      </w:pPr>
      <w:r w:rsidRPr="00F91050">
        <w:t>Les </w:t>
      </w:r>
      <w:r w:rsidRPr="00F91050">
        <w:rPr>
          <w:rStyle w:val="lev"/>
          <w:b w:val="0"/>
          <w:bCs/>
        </w:rPr>
        <w:t>sommes versées pour l’emploi d’un salarié à domicile</w:t>
      </w:r>
      <w:r w:rsidRPr="00F91050">
        <w:t>.</w:t>
      </w:r>
    </w:p>
    <w:p w14:paraId="2895E642" w14:textId="77777777" w:rsidR="00CB575E" w:rsidRDefault="00CB575E" w:rsidP="002E5F2B">
      <w:pPr>
        <w:pStyle w:val="Paragraphe-CGPC"/>
      </w:pPr>
      <w:r w:rsidRPr="00F91050">
        <w:t> </w:t>
      </w:r>
    </w:p>
    <w:p w14:paraId="0E4F5524" w14:textId="77777777" w:rsidR="007514E4" w:rsidRPr="00F91050" w:rsidRDefault="007514E4" w:rsidP="002E5F2B">
      <w:pPr>
        <w:pStyle w:val="Paragraphe-CGPC"/>
      </w:pPr>
    </w:p>
    <w:p w14:paraId="19AF3484" w14:textId="4B3C1B23" w:rsidR="00CB575E" w:rsidRPr="00F91050" w:rsidRDefault="00CB575E" w:rsidP="002E5F2B">
      <w:pPr>
        <w:pStyle w:val="Paragraphe-CGPC"/>
      </w:pPr>
      <w:r w:rsidRPr="00F91050">
        <w:t>Plafonnement global des niches fiscales  </w:t>
      </w:r>
    </w:p>
    <w:p w14:paraId="717E6AD1" w14:textId="77777777" w:rsidR="00CB575E" w:rsidRPr="00F91050" w:rsidRDefault="00CB575E" w:rsidP="002E5F2B">
      <w:pPr>
        <w:pStyle w:val="Paragraphe-CGPC"/>
      </w:pPr>
      <w:r w:rsidRPr="00F91050">
        <w:t>La Loi de finances pour 2009 a institué un </w:t>
      </w:r>
      <w:r w:rsidRPr="00F91050">
        <w:rPr>
          <w:rStyle w:val="lev"/>
          <w:b w:val="0"/>
          <w:bCs/>
        </w:rPr>
        <w:t>plafonnement global des principales « niches fiscales »</w:t>
      </w:r>
      <w:r w:rsidRPr="00F91050">
        <w:t> (réductions et crédits d’impôt).</w:t>
      </w:r>
    </w:p>
    <w:p w14:paraId="19D4BCFA" w14:textId="77777777" w:rsidR="00CB575E" w:rsidRPr="00F91050" w:rsidRDefault="00CB575E" w:rsidP="002E5F2B">
      <w:pPr>
        <w:pStyle w:val="Paragraphe-CGPC"/>
      </w:pPr>
      <w:r w:rsidRPr="00F91050">
        <w:lastRenderedPageBreak/>
        <w:t>Le plafonnement global des avantages fiscaux (</w:t>
      </w:r>
      <w:r w:rsidRPr="00F91050">
        <w:rPr>
          <w:rStyle w:val="Accentuation"/>
          <w:i w:val="0"/>
          <w:iCs w:val="0"/>
        </w:rPr>
        <w:t>niches fiscales</w:t>
      </w:r>
      <w:r w:rsidRPr="00F91050">
        <w:t>) consiste à limiter le montant des avantages fiscaux dont peut bénéficier le contribuable chaque année pour le calcul de l’impôt sur le revenu. Les avantages fiscaux concernés peuvent prendre la forme d’une déduction du revenu imposable, d’une réduction d’impôt ou d’un crédit d’impôt.</w:t>
      </w:r>
    </w:p>
    <w:p w14:paraId="3E03FFED" w14:textId="77777777" w:rsidR="0084416B" w:rsidRDefault="0084416B" w:rsidP="002E5F2B">
      <w:pPr>
        <w:pStyle w:val="Paragraphe-CGPC"/>
      </w:pPr>
    </w:p>
    <w:p w14:paraId="11628FC6" w14:textId="55C9E932" w:rsidR="00CB575E" w:rsidRPr="00F91050" w:rsidRDefault="00CB575E" w:rsidP="002E5F2B">
      <w:pPr>
        <w:pStyle w:val="Paragraphe-CGPC"/>
      </w:pPr>
      <w:r w:rsidRPr="00F91050">
        <w:t>Le plafonnement global s’applique aux avantages fiscaux accordés en contrepartie :</w:t>
      </w:r>
    </w:p>
    <w:p w14:paraId="0D326750" w14:textId="77777777" w:rsidR="00CB575E" w:rsidRPr="00F91050" w:rsidRDefault="00CB575E" w:rsidP="002E5F2B">
      <w:pPr>
        <w:pStyle w:val="Paragraphe-CGPC"/>
      </w:pPr>
      <w:r w:rsidRPr="00F91050">
        <w:t>D’un investissement (par exemple, l’investissement locatif)</w:t>
      </w:r>
    </w:p>
    <w:p w14:paraId="7F8CB9AB" w14:textId="3B093DB8" w:rsidR="0084416B" w:rsidRDefault="00CB575E" w:rsidP="002E5F2B">
      <w:pPr>
        <w:pStyle w:val="Paragraphe-CGPC"/>
      </w:pPr>
      <w:r w:rsidRPr="00F91050">
        <w:t>Ou d’une prestation (par exemple, l’emploi d’un salarié à domicile ou les frais de garde des jeunes enfants)</w:t>
      </w:r>
    </w:p>
    <w:p w14:paraId="42E332C7" w14:textId="102B2039" w:rsidR="003B2F7D" w:rsidRDefault="003B2F7D" w:rsidP="002E5F2B">
      <w:pPr>
        <w:pStyle w:val="Paragraphe-CGPC"/>
      </w:pPr>
      <w:r>
        <w:t xml:space="preserve">NB : </w:t>
      </w:r>
      <w:r w:rsidRPr="003B2F7D">
        <w:t>Le plafonnement est le même pour tous les foyers fiscaux, qu</w:t>
      </w:r>
      <w:r w:rsidR="002F2A4A">
        <w:t>’il soit</w:t>
      </w:r>
      <w:r w:rsidRPr="003B2F7D">
        <w:t xml:space="preserve"> seul ou en couple, avec ou sans personne à charge.</w:t>
      </w:r>
    </w:p>
    <w:p w14:paraId="05902048" w14:textId="77777777" w:rsidR="002F2A4A" w:rsidRDefault="002F2A4A" w:rsidP="002E5F2B">
      <w:pPr>
        <w:pStyle w:val="Paragraphe-CGPC"/>
      </w:pPr>
    </w:p>
    <w:p w14:paraId="0B837007" w14:textId="21A9AE4A" w:rsidR="00CB575E" w:rsidRPr="00F91050" w:rsidRDefault="00CB575E" w:rsidP="002E5F2B">
      <w:pPr>
        <w:pStyle w:val="Paragraphe-CGPC"/>
      </w:pPr>
      <w:r w:rsidRPr="00F91050">
        <w:t>Depuis 2013 le plafonnement global des avantages fiscaux est de 10 000 € à l’exclusion :</w:t>
      </w:r>
    </w:p>
    <w:p w14:paraId="4C6D8034" w14:textId="77777777" w:rsidR="00CB575E" w:rsidRPr="00F91050" w:rsidRDefault="00CB575E" w:rsidP="00BF2476">
      <w:pPr>
        <w:pStyle w:val="Paragraphe-CGPC"/>
        <w:numPr>
          <w:ilvl w:val="0"/>
          <w:numId w:val="42"/>
        </w:numPr>
      </w:pPr>
      <w:r w:rsidRPr="00F91050">
        <w:t>Des SOFICA et investissement en Outremer qui bénéficient d’un sur-plafond à 18 000 €</w:t>
      </w:r>
    </w:p>
    <w:p w14:paraId="1FDC258E" w14:textId="77777777" w:rsidR="00CB575E" w:rsidRPr="00F91050" w:rsidRDefault="00CB575E" w:rsidP="00BF2476">
      <w:pPr>
        <w:pStyle w:val="Paragraphe-CGPC"/>
        <w:numPr>
          <w:ilvl w:val="0"/>
          <w:numId w:val="42"/>
        </w:numPr>
      </w:pPr>
      <w:r w:rsidRPr="00F91050">
        <w:t>Et de l’investissement Malraux qui n’est pas concerné par ledit plafonnement</w:t>
      </w:r>
    </w:p>
    <w:p w14:paraId="66C59676" w14:textId="7D00BDB8" w:rsidR="002426CC" w:rsidRDefault="002426CC" w:rsidP="002E5F2B">
      <w:pPr>
        <w:pStyle w:val="Paragraphe-CGPC"/>
      </w:pPr>
      <w:r>
        <w:t>Exemple :</w:t>
      </w:r>
    </w:p>
    <w:p w14:paraId="708A2338" w14:textId="5769B5E2" w:rsidR="002426CC" w:rsidRDefault="002426CC" w:rsidP="002E5F2B">
      <w:pPr>
        <w:pStyle w:val="Paragraphe-CGPC"/>
      </w:pPr>
      <w:r>
        <w:t>Pour un foyer fiscal qui bénéficie d'un crédit d'impôt pour emploi à domicile de 6 000 € et d'une réduction d'impôt pour investissement locatif Pinel de 5 000 €</w:t>
      </w:r>
      <w:r w:rsidR="00C16CF5">
        <w:t xml:space="preserve"> (</w:t>
      </w:r>
      <w:r>
        <w:t>6 000 € + 5 000 € = 11 000 €</w:t>
      </w:r>
      <w:r w:rsidR="00C16CF5">
        <w:t>)</w:t>
      </w:r>
    </w:p>
    <w:p w14:paraId="7E75FE05" w14:textId="77777777" w:rsidR="002426CC" w:rsidRDefault="002426CC" w:rsidP="002E5F2B">
      <w:pPr>
        <w:pStyle w:val="Paragraphe-CGPC"/>
      </w:pPr>
      <w:r>
        <w:t>Le montant dépasse la limite de plafonnement global.</w:t>
      </w:r>
    </w:p>
    <w:p w14:paraId="5B998A2E" w14:textId="3EB0F7E0" w:rsidR="00CB575E" w:rsidRPr="00F91050" w:rsidRDefault="00C16CF5" w:rsidP="002E5F2B">
      <w:pPr>
        <w:pStyle w:val="Paragraphe-CGPC"/>
      </w:pPr>
      <w:r>
        <w:t>L’avantage</w:t>
      </w:r>
      <w:r w:rsidR="002426CC">
        <w:t xml:space="preserve"> fiscal sera donc limité à 10 000 €.</w:t>
      </w:r>
    </w:p>
    <w:p w14:paraId="2C56FF7F" w14:textId="7810B631" w:rsidR="008178BC" w:rsidRPr="00F91050" w:rsidRDefault="008178BC" w:rsidP="002E5F2B">
      <w:pPr>
        <w:pStyle w:val="Paragraphe-CGPC"/>
      </w:pPr>
      <w:r w:rsidRPr="00F91050">
        <w:br w:type="page"/>
      </w:r>
    </w:p>
    <w:bookmarkStart w:id="79" w:name="_Toc202191581"/>
    <w:p w14:paraId="4933E34A" w14:textId="6116749B" w:rsidR="00E71E9F" w:rsidRDefault="008538D1" w:rsidP="00E71E9F">
      <w:r>
        <w:rPr>
          <w:noProof/>
          <w14:ligatures w14:val="standardContextual"/>
        </w:rPr>
        <w:lastRenderedPageBreak/>
        <mc:AlternateContent>
          <mc:Choice Requires="wps">
            <w:drawing>
              <wp:anchor distT="0" distB="0" distL="114300" distR="114300" simplePos="0" relativeHeight="251654139" behindDoc="1" locked="0" layoutInCell="1" allowOverlap="1" wp14:anchorId="3584408A" wp14:editId="5191BD7A">
                <wp:simplePos x="0" y="0"/>
                <wp:positionH relativeFrom="column">
                  <wp:posOffset>-914400</wp:posOffset>
                </wp:positionH>
                <wp:positionV relativeFrom="paragraph">
                  <wp:posOffset>-178435</wp:posOffset>
                </wp:positionV>
                <wp:extent cx="15182850" cy="8874125"/>
                <wp:effectExtent l="0" t="0" r="19050" b="22225"/>
                <wp:wrapNone/>
                <wp:docPr id="933851718" name="Rectangle 10"/>
                <wp:cNvGraphicFramePr/>
                <a:graphic xmlns:a="http://schemas.openxmlformats.org/drawingml/2006/main">
                  <a:graphicData uri="http://schemas.microsoft.com/office/word/2010/wordprocessingShape">
                    <wps:wsp>
                      <wps:cNvSpPr/>
                      <wps:spPr>
                        <a:xfrm>
                          <a:off x="0" y="0"/>
                          <a:ext cx="15182850" cy="887412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02A7D6" id="Rectangle 10" o:spid="_x0000_s1026" style="position:absolute;margin-left:-1in;margin-top:-14.05pt;width:1195.5pt;height:698.75pt;z-index:-2516623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" fillcolor="#4472c4 [3204]" strokecolor="#09101d [484]" strokeweight="1pt"/>
            </w:pict>
          </mc:Fallback>
        </mc:AlternateContent>
      </w:r>
    </w:p>
    <w:p w14:paraId="26E8A935" w14:textId="77777777" w:rsidR="00E71E9F" w:rsidRDefault="00E71E9F" w:rsidP="00E71E9F"/>
    <w:p w14:paraId="6D187E15" w14:textId="77777777" w:rsidR="00E71E9F" w:rsidRDefault="00E71E9F" w:rsidP="00E71E9F"/>
    <w:p w14:paraId="12B2742F" w14:textId="77777777" w:rsidR="00E71E9F" w:rsidRDefault="00E71E9F" w:rsidP="00E71E9F"/>
    <w:p w14:paraId="5A2062EF" w14:textId="77777777" w:rsidR="00E71E9F" w:rsidRDefault="00E71E9F" w:rsidP="00E71E9F"/>
    <w:p w14:paraId="02F5EFF9" w14:textId="77777777" w:rsidR="00E71E9F" w:rsidRDefault="00E71E9F" w:rsidP="00E71E9F"/>
    <w:p w14:paraId="4520C159" w14:textId="5F1EDB1E" w:rsidR="00E71E9F" w:rsidRDefault="00305412" w:rsidP="00305412">
      <w:pPr>
        <w:tabs>
          <w:tab w:val="left" w:pos="3180"/>
        </w:tabs>
      </w:pPr>
      <w:r>
        <w:tab/>
      </w:r>
    </w:p>
    <w:p w14:paraId="4BA35A61" w14:textId="77777777" w:rsidR="00E71E9F" w:rsidRDefault="00E71E9F" w:rsidP="00E71E9F"/>
    <w:p w14:paraId="557670C0" w14:textId="21194841" w:rsidR="00E71E9F" w:rsidRDefault="0000780B" w:rsidP="0000780B">
      <w:pPr>
        <w:tabs>
          <w:tab w:val="left" w:pos="3930"/>
        </w:tabs>
      </w:pPr>
      <w:r>
        <w:tab/>
      </w:r>
    </w:p>
    <w:p w14:paraId="20947D7C" w14:textId="68DBDB3C" w:rsidR="00E71E9F" w:rsidRPr="00E71E9F" w:rsidRDefault="00CB575E" w:rsidP="00E71E9F">
      <w:pPr>
        <w:pStyle w:val="Titre1"/>
      </w:pPr>
      <w:bookmarkStart w:id="80" w:name="_Toc207183039"/>
      <w:bookmarkStart w:id="81" w:name="_Toc233204955"/>
      <w:r w:rsidRPr="00E71E9F">
        <w:t>Le prélèvement à la source</w:t>
      </w:r>
      <w:bookmarkEnd w:id="79"/>
      <w:bookmarkEnd w:id="80"/>
      <w:bookmarkEnd w:id="81"/>
    </w:p>
    <w:p w14:paraId="68F1BC4B" w14:textId="77777777" w:rsidR="00E71E9F" w:rsidRDefault="00E71E9F" w:rsidP="002E5F2B">
      <w:pPr>
        <w:pStyle w:val="Paragraphe-CGPC"/>
        <w:rPr>
          <w:rFonts w:eastAsiaTheme="majorEastAsia"/>
          <w:color w:val="3A5D9C"/>
          <w:sz w:val="44"/>
          <w:szCs w:val="26"/>
          <w:bdr w:val="none" w:sz="0" w:space="0" w:color="auto" w:frame="1"/>
        </w:rPr>
      </w:pPr>
      <w:r>
        <w:br w:type="page"/>
      </w:r>
    </w:p>
    <w:p w14:paraId="15A22A19" w14:textId="380B7E29" w:rsidR="00CB575E" w:rsidRPr="009201C0" w:rsidRDefault="00CB575E" w:rsidP="002E5F2B">
      <w:pPr>
        <w:pStyle w:val="Paragraphe-CGPC"/>
      </w:pPr>
      <w:r w:rsidRPr="009201C0">
        <w:lastRenderedPageBreak/>
        <w:t xml:space="preserve">Jusqu’au 31 décembre 2018, l’impôt dû et payé était calculé sur la base des revenus perçus l’année précédente. Depuis le 1er janvier 2019, l’impôt est prélevé en fonction des revenus perçus </w:t>
      </w:r>
      <w:r w:rsidR="00FC6114" w:rsidRPr="009201C0">
        <w:t>au titre de l’année de leur encaissement</w:t>
      </w:r>
      <w:r w:rsidRPr="009201C0">
        <w:t>.</w:t>
      </w:r>
    </w:p>
    <w:p w14:paraId="0935D049" w14:textId="755EA3D8" w:rsidR="00CB575E" w:rsidRPr="009201C0" w:rsidRDefault="00CB575E" w:rsidP="002E5F2B">
      <w:pPr>
        <w:pStyle w:val="Titre2"/>
        <w:numPr>
          <w:ilvl w:val="0"/>
          <w:numId w:val="30"/>
        </w:numPr>
      </w:pPr>
      <w:bookmarkStart w:id="82" w:name="_Toc202191582"/>
      <w:bookmarkStart w:id="83" w:name="_Toc207183040"/>
      <w:bookmarkStart w:id="84" w:name="_Toc233204956"/>
      <w:r w:rsidRPr="009201C0">
        <w:t>Revenus concernés</w:t>
      </w:r>
      <w:bookmarkEnd w:id="82"/>
      <w:bookmarkEnd w:id="83"/>
      <w:bookmarkEnd w:id="84"/>
    </w:p>
    <w:p w14:paraId="5C29B0E7" w14:textId="76F6F4E5" w:rsidR="00F87D99" w:rsidRDefault="00F87D99" w:rsidP="002E5F2B">
      <w:pPr>
        <w:pStyle w:val="Paragraphe-CGPC"/>
      </w:pPr>
      <w:r w:rsidRPr="00F87D99">
        <w:t xml:space="preserve">Le prélèvement à la source consiste à faire payer l'impôt en même temps que </w:t>
      </w:r>
      <w:r>
        <w:t xml:space="preserve">la perception des </w:t>
      </w:r>
      <w:r w:rsidRPr="00F87D99">
        <w:t xml:space="preserve"> revenus.</w:t>
      </w:r>
    </w:p>
    <w:p w14:paraId="708433C5" w14:textId="63FF81F6" w:rsidR="00CB575E" w:rsidRPr="009201C0" w:rsidRDefault="00CB575E" w:rsidP="002E5F2B">
      <w:pPr>
        <w:pStyle w:val="Paragraphe-CGPC"/>
      </w:pPr>
      <w:r w:rsidRPr="009201C0">
        <w:t>Le prélèvement à la source concerne la plupart des</w:t>
      </w:r>
      <w:r w:rsidRPr="009201C0">
        <w:rPr>
          <w:rStyle w:val="lev"/>
          <w:b w:val="0"/>
          <w:bCs/>
        </w:rPr>
        <w:t> revenus des contribuables</w:t>
      </w:r>
      <w:r w:rsidRPr="009201C0">
        <w:t> :</w:t>
      </w:r>
    </w:p>
    <w:p w14:paraId="1AC2EFB3" w14:textId="77777777" w:rsidR="00CB575E" w:rsidRPr="009201C0" w:rsidRDefault="00CB575E" w:rsidP="00BF2476">
      <w:pPr>
        <w:pStyle w:val="Paragraphe-CGPC"/>
        <w:numPr>
          <w:ilvl w:val="0"/>
          <w:numId w:val="43"/>
        </w:numPr>
      </w:pPr>
      <w:r w:rsidRPr="009201C0">
        <w:t>Soit sous la forme d’une </w:t>
      </w:r>
      <w:r w:rsidRPr="009201C0">
        <w:rPr>
          <w:rStyle w:val="lev"/>
          <w:b w:val="0"/>
          <w:bCs/>
        </w:rPr>
        <w:t>retenue à la source</w:t>
      </w:r>
      <w:r w:rsidRPr="009201C0">
        <w:t>, collectée par le payeur du revenu (employeur, administration, caisse de retraite) pour les traitements et salaires, les pensions, les revenus de remplacement et les rentes viagères à titre gratuit ;</w:t>
      </w:r>
    </w:p>
    <w:p w14:paraId="4372657E" w14:textId="6C918B1E" w:rsidR="00CB575E" w:rsidRPr="009201C0" w:rsidRDefault="00CB575E" w:rsidP="00BF2476">
      <w:pPr>
        <w:pStyle w:val="Paragraphe-CGPC"/>
        <w:numPr>
          <w:ilvl w:val="0"/>
          <w:numId w:val="43"/>
        </w:numPr>
      </w:pPr>
      <w:r w:rsidRPr="009201C0">
        <w:t>Soit sous la forme d’un </w:t>
      </w:r>
      <w:r w:rsidRPr="009201C0">
        <w:rPr>
          <w:rStyle w:val="lev"/>
          <w:b w:val="0"/>
          <w:bCs/>
        </w:rPr>
        <w:t xml:space="preserve">acompte </w:t>
      </w:r>
      <w:r w:rsidRPr="00BF2476">
        <w:rPr>
          <w:rStyle w:val="lev"/>
          <w:b w:val="0"/>
          <w:bCs/>
          <w:color w:val="auto"/>
        </w:rPr>
        <w:t>contemporain</w:t>
      </w:r>
      <w:r w:rsidR="005F778D">
        <w:rPr>
          <w:rStyle w:val="lev"/>
          <w:b w:val="0"/>
          <w:bCs/>
        </w:rPr>
        <w:t xml:space="preserve">, prélevé </w:t>
      </w:r>
      <w:r w:rsidR="00703916">
        <w:rPr>
          <w:rStyle w:val="lev"/>
          <w:b w:val="0"/>
          <w:bCs/>
        </w:rPr>
        <w:t xml:space="preserve">sur le compte bancaire du contribuable, </w:t>
      </w:r>
      <w:r w:rsidRPr="009201C0">
        <w:t xml:space="preserve">pour les revenus des </w:t>
      </w:r>
      <w:r w:rsidR="00FC20A8">
        <w:t xml:space="preserve">travailleurs </w:t>
      </w:r>
      <w:r w:rsidRPr="009201C0">
        <w:t xml:space="preserve">indépendants (BIC, BA, BNC), les revenus fonciers, </w:t>
      </w:r>
      <w:r w:rsidR="00AD7B48">
        <w:t xml:space="preserve">les pensions alimentaires </w:t>
      </w:r>
      <w:r w:rsidRPr="009201C0">
        <w:t>et certains revenus imposés comme des traitements et salaires.</w:t>
      </w:r>
    </w:p>
    <w:p w14:paraId="04BC1B74" w14:textId="5B764049" w:rsidR="00332939" w:rsidRDefault="002B4E58" w:rsidP="002E5F2B">
      <w:pPr>
        <w:pStyle w:val="Paragraphe-CGPC"/>
      </w:pPr>
      <w:r w:rsidRPr="002B4E58">
        <w:t>Le taux de prélèvement est </w:t>
      </w:r>
      <w:r w:rsidRPr="002E5F2B">
        <w:t>modifié chaque année en septembre</w:t>
      </w:r>
      <w:r w:rsidRPr="002B4E58">
        <w:t>, en fonction de la déclaration des revenus effectuée au printemps.</w:t>
      </w:r>
    </w:p>
    <w:p w14:paraId="16AC66D9" w14:textId="6B6DF3C4" w:rsidR="00CB575E" w:rsidRDefault="00CB575E" w:rsidP="002E5F2B">
      <w:pPr>
        <w:pStyle w:val="Paragraphe-CGPC"/>
      </w:pPr>
      <w:r w:rsidRPr="009201C0">
        <w:t>Le</w:t>
      </w:r>
      <w:r w:rsidR="00332939">
        <w:t>s</w:t>
      </w:r>
      <w:r w:rsidRPr="009201C0">
        <w:t xml:space="preserve"> prélèvement</w:t>
      </w:r>
      <w:r w:rsidR="00332939">
        <w:t>s</w:t>
      </w:r>
      <w:r w:rsidRPr="009201C0">
        <w:t xml:space="preserve"> s’impute</w:t>
      </w:r>
      <w:r w:rsidR="00332939">
        <w:t xml:space="preserve">nt </w:t>
      </w:r>
      <w:r w:rsidRPr="009201C0">
        <w:t xml:space="preserve"> sur l’IR</w:t>
      </w:r>
      <w:r w:rsidR="00FC6114" w:rsidRPr="009201C0">
        <w:t>PP</w:t>
      </w:r>
      <w:r w:rsidRPr="009201C0">
        <w:t xml:space="preserve"> dû par le contribuable au titre de l’année au cours de laquelle il</w:t>
      </w:r>
      <w:r w:rsidR="00C7470A">
        <w:t>s</w:t>
      </w:r>
      <w:r w:rsidRPr="009201C0">
        <w:t xml:space="preserve"> aur</w:t>
      </w:r>
      <w:r w:rsidR="00C7470A">
        <w:t xml:space="preserve">ont </w:t>
      </w:r>
      <w:r w:rsidRPr="009201C0">
        <w:t xml:space="preserve"> été effectué</w:t>
      </w:r>
      <w:r w:rsidR="00C7470A">
        <w:t>s</w:t>
      </w:r>
      <w:r w:rsidRPr="009201C0">
        <w:t xml:space="preserve"> et ser</w:t>
      </w:r>
      <w:r w:rsidR="00C7470A">
        <w:t xml:space="preserve">ont </w:t>
      </w:r>
      <w:r w:rsidRPr="009201C0">
        <w:t xml:space="preserve"> restitué</w:t>
      </w:r>
      <w:r w:rsidR="002C0FA4">
        <w:t>s</w:t>
      </w:r>
      <w:r w:rsidRPr="009201C0">
        <w:t xml:space="preserve"> en cas d’excédent.</w:t>
      </w:r>
    </w:p>
    <w:p w14:paraId="6544F1A7" w14:textId="350432B3" w:rsidR="00494991" w:rsidRPr="00494991" w:rsidRDefault="00EC1172" w:rsidP="002E5F2B">
      <w:pPr>
        <w:pStyle w:val="Paragraphe-CGPC"/>
      </w:pPr>
      <w:r>
        <w:t>Il est</w:t>
      </w:r>
      <w:r w:rsidR="00494991">
        <w:t xml:space="preserve"> possible de</w:t>
      </w:r>
      <w:r w:rsidR="00494991" w:rsidRPr="00494991">
        <w:t> </w:t>
      </w:r>
      <w:hyperlink r:id="rId21" w:history="1">
        <w:r w:rsidR="00494991" w:rsidRPr="00494991">
          <w:rPr>
            <w:rStyle w:val="Lienhypertexte"/>
          </w:rPr>
          <w:t xml:space="preserve">modifier </w:t>
        </w:r>
        <w:r w:rsidR="00494991">
          <w:rPr>
            <w:rStyle w:val="Lienhypertexte"/>
          </w:rPr>
          <w:t>le</w:t>
        </w:r>
        <w:r w:rsidR="00494991" w:rsidRPr="00494991">
          <w:rPr>
            <w:rStyle w:val="Lienhypertexte"/>
          </w:rPr>
          <w:t xml:space="preserve"> taux de prélèvement</w:t>
        </w:r>
      </w:hyperlink>
      <w:r w:rsidR="00494991" w:rsidRPr="00494991">
        <w:t> à la source dans l'une des situations suivantes :</w:t>
      </w:r>
    </w:p>
    <w:p w14:paraId="20F7833D" w14:textId="001BADF9" w:rsidR="00494991" w:rsidRPr="00494991" w:rsidRDefault="00494991" w:rsidP="002E5F2B">
      <w:pPr>
        <w:pStyle w:val="Paragraphe-CGPC"/>
        <w:numPr>
          <w:ilvl w:val="0"/>
          <w:numId w:val="44"/>
        </w:numPr>
      </w:pPr>
      <w:r>
        <w:t>P</w:t>
      </w:r>
      <w:r w:rsidR="003172D8">
        <w:t>our</w:t>
      </w:r>
      <w:r w:rsidRPr="00494991">
        <w:t xml:space="preserve"> baisser </w:t>
      </w:r>
      <w:r>
        <w:t>le</w:t>
      </w:r>
      <w:r w:rsidRPr="00494991">
        <w:t xml:space="preserve"> taux</w:t>
      </w:r>
    </w:p>
    <w:p w14:paraId="52728065" w14:textId="7681AE36" w:rsidR="00494991" w:rsidRPr="00494991" w:rsidRDefault="00EC1172" w:rsidP="002E5F2B">
      <w:pPr>
        <w:pStyle w:val="Paragraphe-CGPC"/>
        <w:numPr>
          <w:ilvl w:val="0"/>
          <w:numId w:val="44"/>
        </w:numPr>
      </w:pPr>
      <w:r>
        <w:t xml:space="preserve">Pour </w:t>
      </w:r>
      <w:r w:rsidRPr="00494991">
        <w:t>augmenter</w:t>
      </w:r>
      <w:r w:rsidR="00494991" w:rsidRPr="00494991">
        <w:t xml:space="preserve"> </w:t>
      </w:r>
      <w:r w:rsidR="00494991">
        <w:t>le</w:t>
      </w:r>
      <w:r w:rsidR="00494991" w:rsidRPr="00494991">
        <w:t xml:space="preserve"> taux</w:t>
      </w:r>
    </w:p>
    <w:p w14:paraId="0DB4763D" w14:textId="247EF3A4" w:rsidR="00494991" w:rsidRPr="00494991" w:rsidRDefault="00F5465E" w:rsidP="002E5F2B">
      <w:pPr>
        <w:pStyle w:val="Paragraphe-CGPC"/>
        <w:numPr>
          <w:ilvl w:val="0"/>
          <w:numId w:val="44"/>
        </w:numPr>
      </w:pPr>
      <w:r>
        <w:t>Pour</w:t>
      </w:r>
      <w:r w:rsidR="00494991" w:rsidRPr="00494991">
        <w:t xml:space="preserve"> opter pour le taux d</w:t>
      </w:r>
      <w:r>
        <w:t xml:space="preserve">u </w:t>
      </w:r>
      <w:r w:rsidR="00494991" w:rsidRPr="00494991">
        <w:t>foyer fiscal au lieu d</w:t>
      </w:r>
      <w:r>
        <w:t xml:space="preserve">u </w:t>
      </w:r>
      <w:r w:rsidR="00494991" w:rsidRPr="00494991">
        <w:t>taux individualisé</w:t>
      </w:r>
    </w:p>
    <w:p w14:paraId="5F28C9F1" w14:textId="3CA47A2F" w:rsidR="00494991" w:rsidRPr="00494991" w:rsidRDefault="00F5465E" w:rsidP="002E5F2B">
      <w:pPr>
        <w:pStyle w:val="Paragraphe-CGPC"/>
        <w:numPr>
          <w:ilvl w:val="0"/>
          <w:numId w:val="44"/>
        </w:numPr>
      </w:pPr>
      <w:r>
        <w:t>Pou</w:t>
      </w:r>
      <w:r w:rsidR="00FC1227">
        <w:t>r ne</w:t>
      </w:r>
      <w:r w:rsidR="00494991" w:rsidRPr="00494991">
        <w:t xml:space="preserve"> pas transmettre </w:t>
      </w:r>
      <w:r w:rsidR="00FC1227">
        <w:t>le</w:t>
      </w:r>
      <w:r w:rsidR="00494991" w:rsidRPr="00494991">
        <w:t xml:space="preserve"> taux personnalisé à </w:t>
      </w:r>
      <w:r w:rsidR="00EC1172">
        <w:t>l’</w:t>
      </w:r>
      <w:r w:rsidR="00EC1172" w:rsidRPr="00494991">
        <w:t>employeur</w:t>
      </w:r>
      <w:r w:rsidR="00494991" w:rsidRPr="00494991">
        <w:t>.</w:t>
      </w:r>
    </w:p>
    <w:p w14:paraId="59CC44BC" w14:textId="77777777" w:rsidR="00D15E49" w:rsidRPr="009201C0" w:rsidRDefault="00D15E49" w:rsidP="002E5F2B">
      <w:pPr>
        <w:pStyle w:val="Paragraphe-CGPC"/>
      </w:pPr>
    </w:p>
    <w:p w14:paraId="5E5AE390" w14:textId="110BAED1" w:rsidR="00CB575E" w:rsidRPr="009201C0" w:rsidRDefault="00CB575E" w:rsidP="002E5F2B">
      <w:pPr>
        <w:pStyle w:val="Paragraphe-CGPC"/>
      </w:pPr>
      <w:r w:rsidRPr="00E71E9F">
        <w:rPr>
          <w:rStyle w:val="Accentuation"/>
          <w:b/>
          <w:bCs w:val="0"/>
          <w:i w:val="0"/>
          <w:iCs w:val="0"/>
          <w:u w:val="single"/>
        </w:rPr>
        <w:t>Observation</w:t>
      </w:r>
      <w:r w:rsidRPr="00E71E9F">
        <w:rPr>
          <w:b/>
          <w:u w:val="single"/>
        </w:rPr>
        <w:t> </w:t>
      </w:r>
      <w:r w:rsidRPr="00E71E9F">
        <w:rPr>
          <w:rStyle w:val="lev"/>
          <w:b w:val="0"/>
          <w:bCs/>
          <w:u w:val="single"/>
        </w:rPr>
        <w:t>:</w:t>
      </w:r>
      <w:r w:rsidRPr="009201C0">
        <w:rPr>
          <w:rStyle w:val="lev"/>
          <w:b w:val="0"/>
          <w:bCs/>
        </w:rPr>
        <w:t> </w:t>
      </w:r>
      <w:r w:rsidRPr="009201C0">
        <w:rPr>
          <w:rStyle w:val="Accentuation"/>
          <w:i w:val="0"/>
          <w:iCs w:val="0"/>
        </w:rPr>
        <w:t>en vue d’éventuelles restitutions, de remboursement d’excédents, pour opérer les prélèvements, les contribuables doivent communiquer à l’administration fiscale les coordonnées d’un compte de dépôt ou d’un livret A.</w:t>
      </w:r>
    </w:p>
    <w:p w14:paraId="5FD8E30D" w14:textId="37E8E174" w:rsidR="00CB575E" w:rsidRPr="009201C0" w:rsidRDefault="00CB575E" w:rsidP="002E5F2B">
      <w:pPr>
        <w:pStyle w:val="Titre2"/>
      </w:pPr>
      <w:bookmarkStart w:id="85" w:name="_Toc202191583"/>
      <w:bookmarkStart w:id="86" w:name="_Toc207183041"/>
      <w:bookmarkStart w:id="87" w:name="_Toc233204957"/>
      <w:r w:rsidRPr="009201C0">
        <w:lastRenderedPageBreak/>
        <w:t>Revenus non soumis au prélèvement à la source</w:t>
      </w:r>
      <w:bookmarkEnd w:id="85"/>
      <w:bookmarkEnd w:id="86"/>
      <w:bookmarkEnd w:id="87"/>
      <w:r w:rsidRPr="009201C0">
        <w:t> </w:t>
      </w:r>
    </w:p>
    <w:p w14:paraId="1E8B5E77" w14:textId="77777777" w:rsidR="00CB575E" w:rsidRPr="009201C0" w:rsidRDefault="00CB575E" w:rsidP="002E5F2B">
      <w:pPr>
        <w:pStyle w:val="Paragraphe-CGPC"/>
      </w:pPr>
      <w:r w:rsidRPr="009201C0">
        <w:t>Certains revenus ne sont pas soumis au prélèvement à la source. Ils sont alors imposés en année n, au moment de la liquidation de l’IR dû au titre des revenus n-1.</w:t>
      </w:r>
    </w:p>
    <w:p w14:paraId="63B3AE8E" w14:textId="77777777" w:rsidR="00CB575E" w:rsidRPr="009201C0" w:rsidRDefault="00CB575E" w:rsidP="002E5F2B">
      <w:pPr>
        <w:pStyle w:val="Paragraphe-CGPC"/>
      </w:pPr>
      <w:r w:rsidRPr="009201C0">
        <w:t>Parmi ces revenus figurent notamment les indemnités, avantages, distributions, gains nets ou revenus perçus au titre de la réparation d’un préjudice moral fixés par décision de justice, les plus-values d’acquisition des options de souscription ou d’achats d’actions, les gains nets de cession de titres souscrits en exercice de bons de souscription de parts de créateur d’entreprise, les traitements, salaires, pensions et rentes viagères, de source française, servis à des personnes qui ne sont pas fiscalement domiciliées en France et donnant lieu à l’application d’une retenue à la source.</w:t>
      </w:r>
    </w:p>
    <w:p w14:paraId="7F3C67AE" w14:textId="77777777" w:rsidR="00CB575E" w:rsidRPr="009201C0" w:rsidRDefault="00CB575E" w:rsidP="002E5F2B">
      <w:pPr>
        <w:pStyle w:val="Paragraphe-CGPC"/>
      </w:pPr>
      <w:r w:rsidRPr="009201C0">
        <w:t>Sont également exclus du prélèvement à la source, qu’ils soient soumis à l’impôt sur le revenu au barème progressif ou à un taux proportionnel, les plus-values immobilières (prélèvement libératoire), les revenus de capitaux mobiliers (prélèvement forfaitaire obligatoire), les plus-values de cessions de biens meubles corporels, les plus-values de valeurs mobilières et droits sociaux (difficiles à appréhender), les plus-values professionnelles à long terme et les micro-BIC, BNC et BA, en cas d’option pour le versement libératoire de l’impôt sur le revenu.</w:t>
      </w:r>
    </w:p>
    <w:p w14:paraId="4B628635" w14:textId="77777777" w:rsidR="00CB575E" w:rsidRPr="009201C0" w:rsidRDefault="00CB575E" w:rsidP="002E5F2B">
      <w:pPr>
        <w:pStyle w:val="Paragraphe-CGPC"/>
      </w:pPr>
      <w:r w:rsidRPr="009201C0">
        <w:t>Calcul de l’assiette</w:t>
      </w:r>
    </w:p>
    <w:p w14:paraId="1DC36CCF" w14:textId="77777777" w:rsidR="00CB575E" w:rsidRPr="009201C0" w:rsidRDefault="00CB575E" w:rsidP="002E5F2B">
      <w:pPr>
        <w:pStyle w:val="Paragraphe-CGPC"/>
      </w:pPr>
      <w:r w:rsidRPr="009201C0">
        <w:t>La retenue à la source se calcule sur le montant net imposable à l’IR des sommes versées par le collecteur, avant déduction des frais professionnels, de certaines dispositions spécifiques (assistantes maternelles, journalistes…) et de l’abattement de 10 % sur les pensions et les rentes.</w:t>
      </w:r>
    </w:p>
    <w:p w14:paraId="28475529" w14:textId="77777777" w:rsidR="003764DB" w:rsidRDefault="003764DB" w:rsidP="002E5F2B">
      <w:pPr>
        <w:pStyle w:val="Paragraphe-CGPC"/>
      </w:pPr>
    </w:p>
    <w:p w14:paraId="6D31F499" w14:textId="75D2850E" w:rsidR="00CB575E" w:rsidRPr="00E71E9F" w:rsidRDefault="00CB575E" w:rsidP="002E5F2B">
      <w:pPr>
        <w:pStyle w:val="Paragraphe-CGPC"/>
      </w:pPr>
      <w:r w:rsidRPr="00E71E9F">
        <w:t>Calendrier </w:t>
      </w:r>
    </w:p>
    <w:p w14:paraId="308182A6" w14:textId="7DE08662" w:rsidR="00CB575E" w:rsidRPr="009201C0" w:rsidRDefault="00CB575E" w:rsidP="002E5F2B">
      <w:pPr>
        <w:pStyle w:val="Paragraphe-CGPC"/>
      </w:pPr>
      <w:r w:rsidRPr="009201C0">
        <w:t xml:space="preserve">Au printemps </w:t>
      </w:r>
      <w:r w:rsidRPr="00BF2476">
        <w:rPr>
          <w:strike/>
          <w:color w:val="EE0000"/>
        </w:rPr>
        <w:t>202</w:t>
      </w:r>
      <w:r w:rsidR="007450D4" w:rsidRPr="00BF2476">
        <w:rPr>
          <w:strike/>
          <w:color w:val="EE0000"/>
        </w:rPr>
        <w:t>5</w:t>
      </w:r>
      <w:r w:rsidRPr="009201C0">
        <w:t xml:space="preserve"> </w:t>
      </w:r>
      <w:r w:rsidR="00ED5B18">
        <w:t>2026</w:t>
      </w:r>
      <w:r w:rsidRPr="009201C0">
        <w:t xml:space="preserve">: réalisation de la déclaration des revenus </w:t>
      </w:r>
      <w:r w:rsidRPr="00BF2476">
        <w:rPr>
          <w:strike/>
          <w:color w:val="EE0000"/>
        </w:rPr>
        <w:t>202</w:t>
      </w:r>
      <w:r w:rsidR="007450D4" w:rsidRPr="00BF2476">
        <w:rPr>
          <w:strike/>
          <w:color w:val="EE0000"/>
        </w:rPr>
        <w:t>4</w:t>
      </w:r>
      <w:r w:rsidRPr="00BF2476">
        <w:rPr>
          <w:strike/>
          <w:color w:val="EE0000"/>
        </w:rPr>
        <w:t>.</w:t>
      </w:r>
      <w:r w:rsidR="006D0BA1">
        <w:rPr>
          <w:strike/>
          <w:color w:val="EE0000"/>
        </w:rPr>
        <w:t xml:space="preserve"> </w:t>
      </w:r>
      <w:r w:rsidR="006D0BA1" w:rsidRPr="00BF2476">
        <w:rPr>
          <w:color w:val="EE0000"/>
        </w:rPr>
        <w:t xml:space="preserve"> 2025</w:t>
      </w:r>
    </w:p>
    <w:p w14:paraId="737DF7E3" w14:textId="742D934C" w:rsidR="00CB575E" w:rsidRPr="009201C0" w:rsidRDefault="00CB575E" w:rsidP="002E5F2B">
      <w:pPr>
        <w:pStyle w:val="Paragraphe-CGPC"/>
      </w:pPr>
      <w:r w:rsidRPr="009201C0">
        <w:t xml:space="preserve">À l’été </w:t>
      </w:r>
      <w:r w:rsidRPr="00BF2476">
        <w:rPr>
          <w:strike/>
          <w:color w:val="EE0000"/>
        </w:rPr>
        <w:t>202</w:t>
      </w:r>
      <w:r w:rsidRPr="009201C0">
        <w:t xml:space="preserve"> </w:t>
      </w:r>
      <w:r w:rsidR="006D0BA1">
        <w:t>2026</w:t>
      </w:r>
      <w:r w:rsidRPr="009201C0">
        <w:t xml:space="preserve">: calcul du taux de prélèvement à partir de l’avis d’impôt sur les revenus de </w:t>
      </w:r>
      <w:r w:rsidRPr="00BF2476">
        <w:rPr>
          <w:strike/>
          <w:color w:val="EE0000"/>
        </w:rPr>
        <w:t>202</w:t>
      </w:r>
      <w:r w:rsidR="007450D4" w:rsidRPr="00BF2476">
        <w:rPr>
          <w:strike/>
          <w:color w:val="EE0000"/>
        </w:rPr>
        <w:t>4</w:t>
      </w:r>
      <w:r w:rsidRPr="009201C0">
        <w:t xml:space="preserve"> </w:t>
      </w:r>
      <w:r w:rsidR="006D0BA1">
        <w:t xml:space="preserve"> 2025 </w:t>
      </w:r>
      <w:r w:rsidRPr="009201C0">
        <w:t>et que soient :</w:t>
      </w:r>
    </w:p>
    <w:p w14:paraId="429BBAA6" w14:textId="77777777" w:rsidR="00CB575E" w:rsidRPr="009201C0" w:rsidRDefault="00CB575E" w:rsidP="002E5F2B">
      <w:pPr>
        <w:pStyle w:val="Paragraphe-CGPC"/>
      </w:pPr>
      <w:r w:rsidRPr="009201C0">
        <w:t>Mis en recouvrement l’impôt sur les revenus non soumis au prélèvement à la source ;</w:t>
      </w:r>
    </w:p>
    <w:p w14:paraId="6B543D75" w14:textId="18FB827D" w:rsidR="00CB575E" w:rsidRPr="009201C0" w:rsidRDefault="00CB575E" w:rsidP="002E5F2B">
      <w:pPr>
        <w:pStyle w:val="Paragraphe-CGPC"/>
      </w:pPr>
      <w:r w:rsidRPr="009201C0">
        <w:t xml:space="preserve">Régularisé l’impôt dû au titre des revenus soumis au prélèvement en 20 </w:t>
      </w:r>
      <w:r w:rsidR="0042626B">
        <w:t>2025</w:t>
      </w:r>
      <w:r w:rsidRPr="009201C0">
        <w:t>;</w:t>
      </w:r>
    </w:p>
    <w:p w14:paraId="19C69277" w14:textId="6C9CE466" w:rsidR="00CB575E" w:rsidRPr="009201C0" w:rsidRDefault="00CB575E" w:rsidP="002E5F2B">
      <w:pPr>
        <w:pStyle w:val="Paragraphe-CGPC"/>
      </w:pPr>
      <w:r w:rsidRPr="009201C0">
        <w:t>Imputés les réductions et crédits d’impôts 20</w:t>
      </w:r>
      <w:r w:rsidR="0042626B">
        <w:t>2025</w:t>
      </w:r>
      <w:r w:rsidRPr="009201C0">
        <w:t xml:space="preserve"> ;</w:t>
      </w:r>
    </w:p>
    <w:p w14:paraId="71ED9480" w14:textId="5C7A3862" w:rsidR="00CB575E" w:rsidRPr="009201C0" w:rsidRDefault="00CB575E" w:rsidP="002E5F2B">
      <w:pPr>
        <w:pStyle w:val="Paragraphe-CGPC"/>
      </w:pPr>
      <w:r w:rsidRPr="009201C0">
        <w:lastRenderedPageBreak/>
        <w:t>Imputés les retenues à la source et acomptes payés en 20</w:t>
      </w:r>
      <w:r w:rsidRPr="00BF2476">
        <w:rPr>
          <w:strike/>
        </w:rPr>
        <w:t>2</w:t>
      </w:r>
      <w:r w:rsidR="0042626B">
        <w:t xml:space="preserve"> 2025</w:t>
      </w:r>
      <w:r w:rsidRPr="009201C0">
        <w:t xml:space="preserve"> au titre des revenus de 202.</w:t>
      </w:r>
    </w:p>
    <w:p w14:paraId="4266F852" w14:textId="2BDC058A" w:rsidR="00CB575E" w:rsidRPr="009201C0" w:rsidRDefault="00CB575E" w:rsidP="002E5F2B">
      <w:pPr>
        <w:pStyle w:val="Paragraphe-CGPC"/>
      </w:pPr>
      <w:r w:rsidRPr="009201C0">
        <w:t>L’administration communiquera également, à ce moment-là, le taux de prélèvement applicable du 01/09/202</w:t>
      </w:r>
      <w:r w:rsidR="00F14522">
        <w:t>6</w:t>
      </w:r>
      <w:r w:rsidRPr="009201C0">
        <w:t xml:space="preserve"> au 31/08/202</w:t>
      </w:r>
      <w:r w:rsidR="00F14522">
        <w:t>7</w:t>
      </w:r>
    </w:p>
    <w:p w14:paraId="03514B84" w14:textId="77777777" w:rsidR="00CB575E" w:rsidRPr="009201C0" w:rsidRDefault="00CB575E" w:rsidP="002E5F2B">
      <w:pPr>
        <w:pStyle w:val="Paragraphe-CGPC"/>
      </w:pPr>
      <w:r w:rsidRPr="009201C0">
        <w:t> </w:t>
      </w:r>
    </w:p>
    <w:p w14:paraId="60CAC5BE" w14:textId="618DFCD9" w:rsidR="00CB575E" w:rsidRPr="00741835" w:rsidRDefault="00CB575E" w:rsidP="002E5F2B">
      <w:pPr>
        <w:pStyle w:val="Titre2"/>
      </w:pPr>
      <w:bookmarkStart w:id="88" w:name="_Toc202191584"/>
      <w:bookmarkStart w:id="89" w:name="_Toc207183042"/>
      <w:bookmarkStart w:id="90" w:name="_Toc233204958"/>
      <w:r w:rsidRPr="00741835">
        <w:t>L’acompte contemporain</w:t>
      </w:r>
      <w:bookmarkEnd w:id="88"/>
      <w:bookmarkEnd w:id="89"/>
      <w:bookmarkEnd w:id="90"/>
    </w:p>
    <w:p w14:paraId="5E10EC1B" w14:textId="77777777" w:rsidR="00CB575E" w:rsidRPr="009201C0" w:rsidRDefault="00CB575E" w:rsidP="002E5F2B">
      <w:pPr>
        <w:pStyle w:val="Paragraphe-CGPC"/>
      </w:pPr>
      <w:r w:rsidRPr="009201C0">
        <w:rPr>
          <w:rStyle w:val="lev"/>
          <w:b w:val="0"/>
          <w:bCs/>
        </w:rPr>
        <w:t>L’acompte contemporain</w:t>
      </w:r>
      <w:r w:rsidRPr="009201C0">
        <w:t>, est calculé pour chaque catégorie de bénéfices ou revenus et pour chaque membre du foyer fiscal, sur le montant des bénéfices ou revenus imposés au barème de l’IR</w:t>
      </w:r>
      <w:r w:rsidRPr="009201C0">
        <w:rPr>
          <w:rStyle w:val="lev"/>
          <w:b w:val="0"/>
          <w:bCs/>
        </w:rPr>
        <w:t> la dernière année pour laquelle l’impôt a été établi, à la date du versement de l’acompte (</w:t>
      </w:r>
      <w:r w:rsidRPr="009201C0">
        <w:t>au plus tard le 15 de chaque mois).</w:t>
      </w:r>
    </w:p>
    <w:p w14:paraId="4A3EAFBC" w14:textId="317F1A99" w:rsidR="00CB575E" w:rsidRPr="00E71E9F" w:rsidRDefault="00CB575E" w:rsidP="002E5F2B">
      <w:pPr>
        <w:pStyle w:val="Paragraphe-CGPC"/>
      </w:pPr>
      <w:r w:rsidRPr="00E71E9F">
        <w:rPr>
          <w:rStyle w:val="Accentuation"/>
          <w:b/>
          <w:bCs w:val="0"/>
          <w:i w:val="0"/>
          <w:iCs w:val="0"/>
        </w:rPr>
        <w:t>Observations</w:t>
      </w:r>
      <w:r w:rsidR="00E71E9F" w:rsidRPr="00E71E9F">
        <w:rPr>
          <w:rStyle w:val="Accentuation"/>
          <w:b/>
          <w:bCs w:val="0"/>
          <w:i w:val="0"/>
          <w:iCs w:val="0"/>
        </w:rPr>
        <w:t> :</w:t>
      </w:r>
    </w:p>
    <w:p w14:paraId="61E896A9" w14:textId="77777777" w:rsidR="00CB575E" w:rsidRPr="009201C0" w:rsidRDefault="00CB575E" w:rsidP="002E5F2B">
      <w:pPr>
        <w:pStyle w:val="Paragraphe-CGPC"/>
      </w:pPr>
      <w:r w:rsidRPr="009201C0">
        <w:rPr>
          <w:rStyle w:val="Accentuation"/>
          <w:i w:val="0"/>
          <w:iCs w:val="0"/>
        </w:rPr>
        <w:t>Les abattements applicables sont ceux de l’année de paiement de l’acompte ;</w:t>
      </w:r>
    </w:p>
    <w:p w14:paraId="32E8C9A8" w14:textId="77777777" w:rsidR="00CB575E" w:rsidRPr="009201C0" w:rsidRDefault="00CB575E" w:rsidP="002E5F2B">
      <w:pPr>
        <w:pStyle w:val="Paragraphe-CGPC"/>
      </w:pPr>
      <w:r w:rsidRPr="009201C0">
        <w:rPr>
          <w:rStyle w:val="Accentuation"/>
          <w:i w:val="0"/>
          <w:iCs w:val="0"/>
        </w:rPr>
        <w:t xml:space="preserve">Si l’année de référence comptait moins de 12 mois, l’assiette est ajustée prorata </w:t>
      </w:r>
      <w:proofErr w:type="spellStart"/>
      <w:r w:rsidRPr="009201C0">
        <w:rPr>
          <w:rStyle w:val="Accentuation"/>
          <w:i w:val="0"/>
          <w:iCs w:val="0"/>
        </w:rPr>
        <w:t>temporis</w:t>
      </w:r>
      <w:proofErr w:type="spellEnd"/>
      <w:r w:rsidRPr="009201C0">
        <w:rPr>
          <w:rStyle w:val="Accentuation"/>
          <w:i w:val="0"/>
          <w:iCs w:val="0"/>
        </w:rPr>
        <w:t> ;</w:t>
      </w:r>
    </w:p>
    <w:p w14:paraId="278CF9F7" w14:textId="77777777" w:rsidR="00CB575E" w:rsidRPr="009201C0" w:rsidRDefault="00CB575E" w:rsidP="002E5F2B">
      <w:pPr>
        <w:pStyle w:val="Paragraphe-CGPC"/>
      </w:pPr>
      <w:r w:rsidRPr="009201C0">
        <w:rPr>
          <w:rStyle w:val="Accentuation"/>
          <w:i w:val="0"/>
          <w:iCs w:val="0"/>
        </w:rPr>
        <w:t>Le résultat déficitaire d’une catégorie est retenu pour une valeur nulle ;</w:t>
      </w:r>
    </w:p>
    <w:p w14:paraId="665E3A97" w14:textId="77777777" w:rsidR="00CB575E" w:rsidRPr="009201C0" w:rsidRDefault="00CB575E" w:rsidP="002E5F2B">
      <w:pPr>
        <w:pStyle w:val="Paragraphe-CGPC"/>
      </w:pPr>
      <w:r w:rsidRPr="009201C0">
        <w:rPr>
          <w:rStyle w:val="Accentuation"/>
          <w:i w:val="0"/>
          <w:iCs w:val="0"/>
        </w:rPr>
        <w:t>On ne prend pas en compte les revenus ou dépenses exceptionnelles(revenu non susceptible d’être recueilli annuellement et dépassant la moyenne des revenus du contribuable des 3 dernières années, plus et moins-values de cession d’éléments de l’actif immobilisé, subventions d’équipement, indemnités d’assurance lié à la perte d’un actif immobilisé) ou différés(si suite à des circonstances indépendantes de sa volonté, le contribuable a eu la disposition de revenus correspondant à des années antérieures).</w:t>
      </w:r>
    </w:p>
    <w:p w14:paraId="47FAA618" w14:textId="77777777" w:rsidR="00CB575E" w:rsidRPr="009201C0" w:rsidRDefault="00CB575E" w:rsidP="00CB575E">
      <w:pPr>
        <w:pStyle w:val="NormalWeb"/>
        <w:spacing w:before="0" w:beforeAutospacing="0" w:after="0" w:afterAutospacing="0"/>
        <w:jc w:val="both"/>
        <w:textAlignment w:val="baseline"/>
        <w:rPr>
          <w:rFonts w:ascii="Open Sans" w:hAnsi="Open Sans" w:cs="Open Sans"/>
          <w:color w:val="666666"/>
          <w:sz w:val="21"/>
          <w:szCs w:val="21"/>
        </w:rPr>
      </w:pPr>
      <w:r w:rsidRPr="009201C0">
        <w:rPr>
          <w:rFonts w:ascii="Open Sans" w:hAnsi="Open Sans" w:cs="Open Sans"/>
          <w:color w:val="666666"/>
          <w:sz w:val="21"/>
          <w:szCs w:val="21"/>
        </w:rPr>
        <w:t> </w:t>
      </w:r>
    </w:p>
    <w:p w14:paraId="75C2CE7E" w14:textId="2D89FB85" w:rsidR="00CB575E" w:rsidRPr="009201C0" w:rsidRDefault="00CB575E" w:rsidP="002E5F2B">
      <w:pPr>
        <w:pStyle w:val="Titre2"/>
      </w:pPr>
      <w:bookmarkStart w:id="91" w:name="_Toc202191585"/>
      <w:bookmarkStart w:id="92" w:name="_Toc207183043"/>
      <w:bookmarkStart w:id="93" w:name="_Toc233204959"/>
      <w:r w:rsidRPr="009201C0">
        <w:t>Le taux du prélèvement</w:t>
      </w:r>
      <w:bookmarkEnd w:id="91"/>
      <w:bookmarkEnd w:id="92"/>
      <w:bookmarkEnd w:id="93"/>
      <w:r w:rsidRPr="009201C0">
        <w:t> </w:t>
      </w:r>
    </w:p>
    <w:p w14:paraId="4D78A791" w14:textId="77777777" w:rsidR="00CB575E" w:rsidRPr="009201C0" w:rsidRDefault="00CB575E" w:rsidP="002E5F2B">
      <w:pPr>
        <w:pStyle w:val="Paragraphe-CGPC"/>
      </w:pPr>
      <w:r w:rsidRPr="009201C0">
        <w:t>Taux personnalisé</w:t>
      </w:r>
    </w:p>
    <w:p w14:paraId="28C13FD1" w14:textId="77777777" w:rsidR="00CB575E" w:rsidRPr="009201C0" w:rsidRDefault="00CB575E" w:rsidP="002E5F2B">
      <w:pPr>
        <w:pStyle w:val="Paragraphe-CGPC"/>
      </w:pPr>
      <w:r w:rsidRPr="009201C0">
        <w:t>Le taux du prélèvement à la source est un taux personnalisé calculé annuellement par l’administration fiscale, selon la formule suivante :</w:t>
      </w:r>
    </w:p>
    <w:p w14:paraId="18B9FC1C" w14:textId="5B8A78CC" w:rsidR="00CB575E" w:rsidRPr="009201C0" w:rsidRDefault="00CB575E" w:rsidP="002E5F2B">
      <w:pPr>
        <w:pStyle w:val="Paragraphe-CGPC"/>
      </w:pPr>
      <w:r w:rsidRPr="009201C0">
        <w:rPr>
          <w:noProof/>
        </w:rPr>
        <w:drawing>
          <wp:inline distT="0" distB="0" distL="0" distR="0" wp14:anchorId="28FBD5AF" wp14:editId="62FD02DD">
            <wp:extent cx="5661052" cy="472966"/>
            <wp:effectExtent l="0" t="0" r="0" b="3810"/>
            <wp:docPr id="704154734" name="Image 4"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154734" name="Image 4" descr="Une image contenant texte, Police, ligne, capture d’écran&#10;&#10;Description générée automatiqueme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9479" cy="477847"/>
                    </a:xfrm>
                    <a:prstGeom prst="rect">
                      <a:avLst/>
                    </a:prstGeom>
                    <a:noFill/>
                    <a:ln>
                      <a:noFill/>
                    </a:ln>
                  </pic:spPr>
                </pic:pic>
              </a:graphicData>
            </a:graphic>
          </wp:inline>
        </w:drawing>
      </w:r>
    </w:p>
    <w:p w14:paraId="32098714" w14:textId="77777777" w:rsidR="00CB575E" w:rsidRPr="009201C0" w:rsidRDefault="00CB575E" w:rsidP="002E5F2B">
      <w:pPr>
        <w:pStyle w:val="Paragraphe-CGPC"/>
      </w:pPr>
      <w:r w:rsidRPr="009201C0">
        <w:lastRenderedPageBreak/>
        <w:t>Les revenus pris en compte sont ceux de l’avant-dernière année pour le calcul du taux applicable entre le 1erjanvier et le 31 août et ceux de l’année précédente pour celui applicable du 1er septembre au 31 décembre ;</w:t>
      </w:r>
    </w:p>
    <w:p w14:paraId="328FD9FE" w14:textId="77777777" w:rsidR="00CB575E" w:rsidRPr="009201C0" w:rsidRDefault="00CB575E" w:rsidP="002E5F2B">
      <w:pPr>
        <w:pStyle w:val="Paragraphe-CGPC"/>
      </w:pPr>
      <w:r w:rsidRPr="009201C0">
        <w:t>L’impôt sur le revenu figurant au numérateur de la formule correspond à l’IR brut du foyer avant imputation des réductions et crédits d’impôts multiplié par le rapport entre le total des revenus nets imposables soumis au prélèvement (les déficits étant retenus pour une valeur nulle) et le revenu net imposable au barème progressif de l’IR, hors déficits, charges et abattements déductibles ;</w:t>
      </w:r>
    </w:p>
    <w:p w14:paraId="53AAA2F0" w14:textId="77777777" w:rsidR="00CB575E" w:rsidRPr="009201C0" w:rsidRDefault="00CB575E" w:rsidP="002E5F2B">
      <w:pPr>
        <w:pStyle w:val="Paragraphe-CGPC"/>
      </w:pPr>
      <w:r w:rsidRPr="009201C0">
        <w:t xml:space="preserve">Le dénominateur de la formule est égal à la somme des revenus entrant dans le champ du prélèvement sans tenir compte des éventuels abattements ou de l’ajustement prorata </w:t>
      </w:r>
      <w:proofErr w:type="spellStart"/>
      <w:r w:rsidRPr="009201C0">
        <w:t>temporis</w:t>
      </w:r>
      <w:proofErr w:type="spellEnd"/>
      <w:r w:rsidRPr="009201C0">
        <w:t xml:space="preserve"> des bénéfices afférents à des périodes de moins de 12 mois. Les déficits, abattements, et charges déductibles du revenu global ne sont pas pris en compte.</w:t>
      </w:r>
    </w:p>
    <w:p w14:paraId="5439BDD5" w14:textId="77777777" w:rsidR="00CB575E" w:rsidRPr="009201C0" w:rsidRDefault="00CB575E" w:rsidP="002E5F2B">
      <w:pPr>
        <w:pStyle w:val="Paragraphe-CGPC"/>
      </w:pPr>
      <w:r w:rsidRPr="009201C0">
        <w:t>Exceptions au taux personnalisé :</w:t>
      </w:r>
    </w:p>
    <w:p w14:paraId="46347CC1" w14:textId="77777777" w:rsidR="00CB575E" w:rsidRPr="009201C0" w:rsidRDefault="00CB575E" w:rsidP="002E5F2B">
      <w:pPr>
        <w:pStyle w:val="Paragraphe-CGPC"/>
      </w:pPr>
      <w:r w:rsidRPr="009201C0">
        <w:t>Le taux applicable à certains contribuables est </w:t>
      </w:r>
      <w:r w:rsidRPr="009201C0">
        <w:rPr>
          <w:rStyle w:val="lev"/>
          <w:b w:val="0"/>
          <w:bCs/>
        </w:rPr>
        <w:t>nul </w:t>
      </w:r>
      <w:r w:rsidRPr="009201C0">
        <w:t>s’ils :</w:t>
      </w:r>
    </w:p>
    <w:p w14:paraId="66A2D2ED" w14:textId="77777777" w:rsidR="00CB575E" w:rsidRPr="009201C0" w:rsidRDefault="00CB575E" w:rsidP="002E5F2B">
      <w:pPr>
        <w:pStyle w:val="Paragraphe-CGPC"/>
      </w:pPr>
      <w:r w:rsidRPr="009201C0">
        <w:t>N’ont pas été soumis à l’impôt au cours des deux dernières années ;</w:t>
      </w:r>
    </w:p>
    <w:p w14:paraId="0F82ADA2" w14:textId="77777777" w:rsidR="00CB575E" w:rsidRPr="009201C0" w:rsidRDefault="00CB575E" w:rsidP="002E5F2B">
      <w:pPr>
        <w:pStyle w:val="Paragraphe-CGPC"/>
      </w:pPr>
      <w:r w:rsidRPr="009201C0">
        <w:t>Et que le montant de leurs revenus n-1 est inférieur à un montant réévalué annuellement par part de quotient familial.</w:t>
      </w:r>
    </w:p>
    <w:p w14:paraId="234BEA08" w14:textId="77777777" w:rsidR="00CB575E" w:rsidRPr="009201C0" w:rsidRDefault="00CB575E" w:rsidP="002E5F2B">
      <w:pPr>
        <w:pStyle w:val="Paragraphe-CGPC"/>
      </w:pPr>
      <w:r w:rsidRPr="009201C0">
        <w:t>Un taux proportionnel fixe, ou taux neutre ou non personnalisé, peut également s’appliquer à certaines personnes :</w:t>
      </w:r>
    </w:p>
    <w:p w14:paraId="325E0801" w14:textId="77777777" w:rsidR="00CB575E" w:rsidRPr="009201C0" w:rsidRDefault="00CB575E" w:rsidP="002E5F2B">
      <w:pPr>
        <w:pStyle w:val="Paragraphe-CGPC"/>
      </w:pPr>
      <w:r w:rsidRPr="009201C0">
        <w:t>Ne disposant pas d’un taux calculé par l’administration fiscale (début d’activité, changement d’employeur…) ;</w:t>
      </w:r>
    </w:p>
    <w:p w14:paraId="5C65D2B2" w14:textId="77777777" w:rsidR="00CB575E" w:rsidRPr="009201C0" w:rsidRDefault="00CB575E" w:rsidP="002E5F2B">
      <w:pPr>
        <w:pStyle w:val="Paragraphe-CGPC"/>
      </w:pPr>
      <w:r w:rsidRPr="009201C0">
        <w:t>Dont les derniers impôts et revenus connus sont antérieurs à n-3 ;</w:t>
      </w:r>
    </w:p>
    <w:p w14:paraId="4950E9AE" w14:textId="77777777" w:rsidR="00CB575E" w:rsidRPr="009201C0" w:rsidRDefault="00CB575E" w:rsidP="002E5F2B">
      <w:pPr>
        <w:pStyle w:val="Paragraphe-CGPC"/>
      </w:pPr>
      <w:r w:rsidRPr="009201C0">
        <w:t>Ayant exercé une option en ce sens pour leurs traitements et salaires soumis à la retenue à la source (l’option est alors mise en œuvre au plus tard le 3e mois suivant la demande).</w:t>
      </w:r>
    </w:p>
    <w:p w14:paraId="40218B15" w14:textId="77777777" w:rsidR="00CB575E" w:rsidRPr="009201C0" w:rsidRDefault="00CB575E" w:rsidP="002E5F2B">
      <w:pPr>
        <w:pStyle w:val="Paragraphe-CGPC"/>
      </w:pPr>
      <w:r w:rsidRPr="009201C0">
        <w:t>Ce taux dépend de la </w:t>
      </w:r>
      <w:r w:rsidRPr="009201C0">
        <w:rPr>
          <w:rStyle w:val="lev"/>
          <w:b w:val="0"/>
          <w:bCs/>
        </w:rPr>
        <w:t>situation géographique du contribuable </w:t>
      </w:r>
      <w:r w:rsidRPr="009201C0">
        <w:t>et de la</w:t>
      </w:r>
      <w:r w:rsidRPr="009201C0">
        <w:rPr>
          <w:rStyle w:val="lev"/>
          <w:b w:val="0"/>
          <w:bCs/>
        </w:rPr>
        <w:t> base mensuelle de prélèvement.</w:t>
      </w:r>
      <w:r w:rsidRPr="009201C0">
        <w:t> Il oscille entre 0 % et 43 %.</w:t>
      </w:r>
    </w:p>
    <w:p w14:paraId="61E17A6C" w14:textId="77777777" w:rsidR="00CB575E" w:rsidRPr="009201C0" w:rsidRDefault="00CB575E" w:rsidP="002E5F2B">
      <w:pPr>
        <w:pStyle w:val="Paragraphe-CGPC"/>
      </w:pPr>
      <w:r w:rsidRPr="009201C0">
        <w:t>Quand le montant de la retenue à la source résultant de l’application de ce taux est inférieur à celui qui se serait appliqué avec un taux personnalisé, le contribuable acquitte un</w:t>
      </w:r>
      <w:r w:rsidRPr="009201C0">
        <w:rPr>
          <w:rStyle w:val="lev"/>
          <w:b w:val="0"/>
          <w:bCs/>
        </w:rPr>
        <w:t> complément de retenue à la source égal à la différence entre ces deux montants</w:t>
      </w:r>
      <w:r w:rsidRPr="009201C0">
        <w:t>, qu’il verse au plus tard le dernier jour du mois suivant celui de la perception du revenu (le prélèvement étant opéré par l’administration fiscale).</w:t>
      </w:r>
    </w:p>
    <w:p w14:paraId="22225A40" w14:textId="4029909F" w:rsidR="00CB575E" w:rsidRPr="009201C0" w:rsidRDefault="00CB575E" w:rsidP="002E5F2B">
      <w:pPr>
        <w:pStyle w:val="Titre2"/>
      </w:pPr>
      <w:bookmarkStart w:id="94" w:name="_Toc202191586"/>
      <w:bookmarkStart w:id="95" w:name="_Toc207183044"/>
      <w:bookmarkStart w:id="96" w:name="_Toc233204960"/>
      <w:r w:rsidRPr="009201C0">
        <w:lastRenderedPageBreak/>
        <w:t>Taux individualisé du taux au sein d’un couple</w:t>
      </w:r>
      <w:bookmarkEnd w:id="94"/>
      <w:bookmarkEnd w:id="95"/>
      <w:bookmarkEnd w:id="96"/>
    </w:p>
    <w:p w14:paraId="1AED1B00" w14:textId="3429D0AA" w:rsidR="00CB575E" w:rsidRPr="009201C0" w:rsidRDefault="00CB575E" w:rsidP="002E5F2B">
      <w:pPr>
        <w:pStyle w:val="Paragraphe-CGPC"/>
      </w:pPr>
      <w:r w:rsidRPr="009201C0">
        <w:t>En cas de disparité de salaires, les contribuables mariés ou pacsés pourront opter, à tout moment, pour un </w:t>
      </w:r>
      <w:r w:rsidRPr="00BF2476">
        <w:t>taux individualisé</w:t>
      </w:r>
      <w:r w:rsidRPr="009201C0">
        <w:t> sur leurs revenus propres (les charges, abattements, parts de quotient familial… étant réparties par moitié), à la place du taux unique du foyer (celui-ci restant cependant applicable aux revenus communs du couple).</w:t>
      </w:r>
    </w:p>
    <w:p w14:paraId="153188FF" w14:textId="057A397A" w:rsidR="00CB575E" w:rsidRPr="00BF2476" w:rsidRDefault="00E43D42" w:rsidP="008178BC">
      <w:pPr>
        <w:rPr>
          <w:rFonts w:cs="Open Sans"/>
          <w:bCs/>
          <w:color w:val="000000" w:themeColor="text1"/>
          <w:kern w:val="2"/>
          <w:sz w:val="32"/>
          <w:szCs w:val="24"/>
          <w14:ligatures w14:val="standardContextual"/>
        </w:rPr>
      </w:pPr>
      <w:r w:rsidRPr="00BF2476">
        <w:rPr>
          <w:rFonts w:cs="Open Sans"/>
          <w:bCs/>
          <w:color w:val="000000" w:themeColor="text1"/>
          <w:kern w:val="2"/>
          <w:sz w:val="32"/>
          <w:szCs w:val="24"/>
          <w14:ligatures w14:val="standardContextual"/>
        </w:rPr>
        <w:t xml:space="preserve">Pour l’imposition des revenus 2025 l’option est inversée, le droit commun sera le taux </w:t>
      </w:r>
      <w:r w:rsidR="00E12C67" w:rsidRPr="00BF2476">
        <w:rPr>
          <w:rFonts w:cs="Open Sans"/>
          <w:bCs/>
          <w:color w:val="000000" w:themeColor="text1"/>
          <w:kern w:val="2"/>
          <w:sz w:val="32"/>
          <w:szCs w:val="24"/>
          <w14:ligatures w14:val="standardContextual"/>
        </w:rPr>
        <w:t>individualisé.</w:t>
      </w:r>
    </w:p>
    <w:p w14:paraId="286168BE" w14:textId="3FA9CF98" w:rsidR="00CB575E" w:rsidRPr="009201C0" w:rsidRDefault="00CB575E" w:rsidP="002E5F2B">
      <w:pPr>
        <w:pStyle w:val="Titre2"/>
      </w:pPr>
      <w:bookmarkStart w:id="97" w:name="_Toc202191587"/>
      <w:bookmarkStart w:id="98" w:name="_Toc207183045"/>
      <w:bookmarkStart w:id="99" w:name="_Toc233204961"/>
      <w:r w:rsidRPr="009201C0">
        <w:t>Changement de situation</w:t>
      </w:r>
      <w:bookmarkEnd w:id="97"/>
      <w:bookmarkEnd w:id="98"/>
      <w:bookmarkEnd w:id="99"/>
    </w:p>
    <w:p w14:paraId="3BFC0D27" w14:textId="77777777" w:rsidR="00CB575E" w:rsidRPr="009201C0" w:rsidRDefault="00CB575E" w:rsidP="002E5F2B">
      <w:pPr>
        <w:pStyle w:val="Paragraphe-CGPC"/>
      </w:pPr>
      <w:r w:rsidRPr="009201C0">
        <w:t>Le montant de l’impôt du contribuable, et donc son taux de prélèvement, peut être amené à évoluer en cours d’une année, suite à un changement de sa situation (à déclarer dans un délai de 60 jours à l’administration fiscale) : mariage ou conclusion d’un PACS, décès de l’un des conjoints ou partenaires, divorce ou rupture du PACS, augmentation des charges de famille résultant d’une naissance, d’une adoption ou du recueil d’un enfant mineur.</w:t>
      </w:r>
    </w:p>
    <w:p w14:paraId="4F91599F" w14:textId="77777777" w:rsidR="00CB575E" w:rsidRPr="009201C0" w:rsidRDefault="00CB575E" w:rsidP="002E5F2B">
      <w:pPr>
        <w:pStyle w:val="Paragraphe-CGPC"/>
      </w:pPr>
      <w:r w:rsidRPr="009201C0">
        <w:t>Sauf exception, le nouveau taux s’applique au plus tard le 3e mois suivant la déclaration de changement de situation et jusqu’à l’application du taux du ou des nouveaux foyers fiscaux constitués à partir du 1er septembre.</w:t>
      </w:r>
    </w:p>
    <w:p w14:paraId="16281B68" w14:textId="77777777" w:rsidR="00CB575E" w:rsidRPr="009201C0" w:rsidRDefault="00CB575E" w:rsidP="002E5F2B">
      <w:pPr>
        <w:pStyle w:val="Paragraphe-CGPC"/>
      </w:pPr>
      <w:r w:rsidRPr="009201C0">
        <w:t> </w:t>
      </w:r>
    </w:p>
    <w:p w14:paraId="1BB014D0" w14:textId="6DD17E5D" w:rsidR="00CB575E" w:rsidRPr="009201C0" w:rsidRDefault="00CB575E" w:rsidP="002E5F2B">
      <w:pPr>
        <w:pStyle w:val="Titre2"/>
      </w:pPr>
      <w:bookmarkStart w:id="100" w:name="_Toc202191588"/>
      <w:bookmarkStart w:id="101" w:name="_Toc207183046"/>
      <w:bookmarkStart w:id="102" w:name="_Toc233204962"/>
      <w:r w:rsidRPr="009201C0">
        <w:t>Demande de modulation du taux</w:t>
      </w:r>
      <w:bookmarkEnd w:id="100"/>
      <w:bookmarkEnd w:id="101"/>
      <w:bookmarkEnd w:id="102"/>
    </w:p>
    <w:p w14:paraId="4D1B3399" w14:textId="77777777" w:rsidR="00CB575E" w:rsidRPr="009201C0" w:rsidRDefault="00CB575E" w:rsidP="002E5F2B">
      <w:pPr>
        <w:pStyle w:val="Paragraphe-CGPC"/>
      </w:pPr>
      <w:r w:rsidRPr="009201C0">
        <w:t>Le contribuable peut également être à l’origine d’une demande de modulation volontaire de son taux de prélèvement ou de l’assiette de l’acompte qui lui est applicable :</w:t>
      </w:r>
    </w:p>
    <w:p w14:paraId="27974BBA" w14:textId="77777777" w:rsidR="00CB575E" w:rsidRPr="009201C0" w:rsidRDefault="00CB575E" w:rsidP="002E5F2B">
      <w:pPr>
        <w:pStyle w:val="Paragraphe-CGPC"/>
      </w:pPr>
      <w:r w:rsidRPr="009201C0">
        <w:t>A la hausse, à tout moment, pour réduire le montant de sa régularisation ;</w:t>
      </w:r>
    </w:p>
    <w:p w14:paraId="7240DB8F" w14:textId="77777777" w:rsidR="00CB575E" w:rsidRPr="009201C0" w:rsidRDefault="00CB575E" w:rsidP="002E5F2B">
      <w:pPr>
        <w:pStyle w:val="Paragraphe-CGPC"/>
      </w:pPr>
      <w:r w:rsidRPr="009201C0">
        <w:t>A la baisse, à condition que le montant du prélèvement estimé par le contribuable soit inférieur de plus de 10 % (5% à compter de 2023) avec le montant de prélèvement qu’il supporterait en l’absence de modulation.</w:t>
      </w:r>
    </w:p>
    <w:p w14:paraId="3D33F79B" w14:textId="77777777" w:rsidR="00CB575E" w:rsidRPr="009201C0" w:rsidRDefault="00CB575E" w:rsidP="002E5F2B">
      <w:pPr>
        <w:pStyle w:val="Paragraphe-CGPC"/>
      </w:pPr>
      <w:r w:rsidRPr="009201C0">
        <w:t>Le taux modulé s’applique ensuite au plus tard le 3e mois suivant la demande de modulation.</w:t>
      </w:r>
    </w:p>
    <w:p w14:paraId="0DAEDC7D" w14:textId="77777777" w:rsidR="00CB575E" w:rsidRPr="009201C0" w:rsidRDefault="00CB575E" w:rsidP="002E5F2B">
      <w:pPr>
        <w:pStyle w:val="Paragraphe-CGPC"/>
      </w:pPr>
      <w:r w:rsidRPr="009201C0">
        <w:t> </w:t>
      </w:r>
    </w:p>
    <w:p w14:paraId="084D5F76" w14:textId="61D539E5" w:rsidR="00CB575E" w:rsidRPr="000E54B9" w:rsidRDefault="00CB575E" w:rsidP="002E5F2B">
      <w:pPr>
        <w:pStyle w:val="Titre2"/>
      </w:pPr>
      <w:bookmarkStart w:id="103" w:name="_Toc202191589"/>
      <w:bookmarkStart w:id="104" w:name="_Toc207183047"/>
      <w:bookmarkStart w:id="105" w:name="_Toc233204963"/>
      <w:r w:rsidRPr="000E54B9">
        <w:lastRenderedPageBreak/>
        <w:t>Déclaration d’un nouveau revenu</w:t>
      </w:r>
      <w:bookmarkEnd w:id="103"/>
      <w:bookmarkEnd w:id="104"/>
      <w:bookmarkEnd w:id="105"/>
    </w:p>
    <w:p w14:paraId="1B53E040" w14:textId="77777777" w:rsidR="00CB575E" w:rsidRPr="009201C0" w:rsidRDefault="00CB575E" w:rsidP="002E5F2B">
      <w:pPr>
        <w:pStyle w:val="Paragraphe-CGPC"/>
      </w:pPr>
      <w:r w:rsidRPr="009201C0">
        <w:t>Le contribuable qui commence à percevoir un nouveau revenu soumis au prélèvement à la source peut spontanément déclarer un montant d’acompte à l’administration fiscale et l’acquitter dans les conditions de droit commun.</w:t>
      </w:r>
    </w:p>
    <w:p w14:paraId="7BCEBB6E" w14:textId="77777777" w:rsidR="00CB575E" w:rsidRPr="009201C0" w:rsidRDefault="00CB575E" w:rsidP="002E5F2B">
      <w:pPr>
        <w:pStyle w:val="Paragraphe-CGPC"/>
      </w:pPr>
      <w:r w:rsidRPr="009201C0">
        <w:t xml:space="preserve">Le montant des versements tient dès lors compte du montant de l’acompte déclaré (le cas échéant ajusté prorata </w:t>
      </w:r>
      <w:proofErr w:type="spellStart"/>
      <w:r w:rsidRPr="009201C0">
        <w:t>temporis</w:t>
      </w:r>
      <w:proofErr w:type="spellEnd"/>
      <w:r w:rsidRPr="009201C0">
        <w:t>) jusqu’à ce que le nouveau prélèvement soit calculé selon les modalités de droit commun.</w:t>
      </w:r>
    </w:p>
    <w:p w14:paraId="44F97667" w14:textId="77777777" w:rsidR="00CB575E" w:rsidRPr="009201C0" w:rsidRDefault="00CB575E" w:rsidP="002E5F2B">
      <w:pPr>
        <w:pStyle w:val="Paragraphe-CGPC"/>
      </w:pPr>
      <w:r w:rsidRPr="009201C0">
        <w:t> </w:t>
      </w:r>
    </w:p>
    <w:p w14:paraId="3140289B" w14:textId="619B542E" w:rsidR="00CB575E" w:rsidRPr="009201C0" w:rsidRDefault="00CB575E" w:rsidP="002E5F2B">
      <w:pPr>
        <w:pStyle w:val="Titre2"/>
      </w:pPr>
      <w:bookmarkStart w:id="106" w:name="_Toc202191590"/>
      <w:bookmarkStart w:id="107" w:name="_Toc207183048"/>
      <w:bookmarkStart w:id="108" w:name="_Toc233204964"/>
      <w:r w:rsidRPr="009201C0">
        <w:t>Perte d’un revenu</w:t>
      </w:r>
      <w:bookmarkEnd w:id="106"/>
      <w:bookmarkEnd w:id="107"/>
      <w:bookmarkEnd w:id="108"/>
    </w:p>
    <w:p w14:paraId="05629E53" w14:textId="77777777" w:rsidR="00CB575E" w:rsidRPr="009201C0" w:rsidRDefault="00CB575E" w:rsidP="002E5F2B">
      <w:pPr>
        <w:pStyle w:val="Paragraphe-CGPC"/>
      </w:pPr>
      <w:r w:rsidRPr="009201C0">
        <w:t>Le contribuable qui cesse de percevoir un revenu qui était auparavant soumis au prélèvement à la source peut demander à l’administration de ne plus verser la part d’acompte y correspondant.</w:t>
      </w:r>
    </w:p>
    <w:p w14:paraId="33608BBA" w14:textId="77777777" w:rsidR="00CB575E" w:rsidRPr="009201C0" w:rsidRDefault="00CB575E" w:rsidP="002E5F2B">
      <w:pPr>
        <w:pStyle w:val="Paragraphe-CGPC"/>
      </w:pPr>
      <w:r w:rsidRPr="009201C0">
        <w:t>La demande est alors prise en compte dès le mois suivant et la part d’acompte déjà acquittée est imputée sur le montant dû au titre de cette imposition.</w:t>
      </w:r>
    </w:p>
    <w:p w14:paraId="19DD338B" w14:textId="459355C7" w:rsidR="00D83ED6" w:rsidRPr="009201C0" w:rsidRDefault="00D83ED6">
      <w:pPr>
        <w:jc w:val="left"/>
        <w:rPr>
          <w:rFonts w:cs="Open Sans"/>
          <w:bCs/>
          <w:kern w:val="2"/>
          <w:szCs w:val="36"/>
          <w14:ligatures w14:val="standardContextual"/>
        </w:rPr>
      </w:pPr>
      <w:r w:rsidRPr="009201C0">
        <w:br w:type="page"/>
      </w:r>
    </w:p>
    <w:bookmarkStart w:id="109" w:name="_Toc202191591"/>
    <w:p w14:paraId="5A6B8849" w14:textId="7F00AC26" w:rsidR="00E71E9F" w:rsidRDefault="002245D6" w:rsidP="00E71E9F">
      <w:r>
        <w:rPr>
          <w:noProof/>
          <w14:ligatures w14:val="standardContextual"/>
        </w:rPr>
        <w:lastRenderedPageBreak/>
        <mc:AlternateContent>
          <mc:Choice Requires="wps">
            <w:drawing>
              <wp:anchor distT="0" distB="0" distL="114300" distR="114300" simplePos="0" relativeHeight="251655164" behindDoc="1" locked="0" layoutInCell="1" allowOverlap="1" wp14:anchorId="57D9344D" wp14:editId="3FAD7E9C">
                <wp:simplePos x="0" y="0"/>
                <wp:positionH relativeFrom="column">
                  <wp:posOffset>-914400</wp:posOffset>
                </wp:positionH>
                <wp:positionV relativeFrom="paragraph">
                  <wp:posOffset>-159385</wp:posOffset>
                </wp:positionV>
                <wp:extent cx="15716250" cy="8874125"/>
                <wp:effectExtent l="0" t="0" r="19050" b="22225"/>
                <wp:wrapNone/>
                <wp:docPr id="1730821837" name="Rectangle 9"/>
                <wp:cNvGraphicFramePr/>
                <a:graphic xmlns:a="http://schemas.openxmlformats.org/drawingml/2006/main">
                  <a:graphicData uri="http://schemas.microsoft.com/office/word/2010/wordprocessingShape">
                    <wps:wsp>
                      <wps:cNvSpPr/>
                      <wps:spPr>
                        <a:xfrm>
                          <a:off x="0" y="0"/>
                          <a:ext cx="15716250" cy="887412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CB704E" id="Rectangle 9" o:spid="_x0000_s1026" style="position:absolute;margin-left:-1in;margin-top:-12.55pt;width:1237.5pt;height:698.75pt;z-index:-2516613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" fillcolor="#4472c4 [3204]" strokecolor="#09101d [484]" strokeweight="1pt"/>
            </w:pict>
          </mc:Fallback>
        </mc:AlternateContent>
      </w:r>
    </w:p>
    <w:p w14:paraId="53A80692" w14:textId="77777777" w:rsidR="00E71E9F" w:rsidRDefault="00E71E9F" w:rsidP="00E71E9F"/>
    <w:p w14:paraId="565DB368" w14:textId="77777777" w:rsidR="00E71E9F" w:rsidRDefault="00E71E9F" w:rsidP="00E71E9F"/>
    <w:p w14:paraId="3712FEC7" w14:textId="77777777" w:rsidR="00E71E9F" w:rsidRDefault="00E71E9F" w:rsidP="00E71E9F"/>
    <w:p w14:paraId="153C0C02" w14:textId="77777777" w:rsidR="00E71E9F" w:rsidRDefault="00E71E9F" w:rsidP="00E71E9F"/>
    <w:p w14:paraId="53B1F2D6" w14:textId="77777777" w:rsidR="00E71E9F" w:rsidRDefault="00E71E9F" w:rsidP="00E71E9F"/>
    <w:p w14:paraId="49614AAE" w14:textId="77777777" w:rsidR="00E71E9F" w:rsidRDefault="00E71E9F" w:rsidP="00E71E9F"/>
    <w:p w14:paraId="679C696D" w14:textId="1107569F" w:rsidR="00E71E9F" w:rsidRDefault="0000780B" w:rsidP="0000780B">
      <w:pPr>
        <w:tabs>
          <w:tab w:val="left" w:pos="2250"/>
          <w:tab w:val="left" w:pos="2970"/>
        </w:tabs>
      </w:pPr>
      <w:r>
        <w:tab/>
      </w:r>
      <w:r>
        <w:tab/>
      </w:r>
    </w:p>
    <w:p w14:paraId="36156A03" w14:textId="0501C91D" w:rsidR="00E71E9F" w:rsidRDefault="0000780B" w:rsidP="0000780B">
      <w:pPr>
        <w:tabs>
          <w:tab w:val="left" w:pos="8700"/>
        </w:tabs>
      </w:pPr>
      <w:r>
        <w:tab/>
      </w:r>
    </w:p>
    <w:p w14:paraId="424B8A0F" w14:textId="77777777" w:rsidR="00E71E9F" w:rsidRDefault="00E71E9F" w:rsidP="00E71E9F"/>
    <w:p w14:paraId="560F0E39" w14:textId="6E90C111" w:rsidR="00E71E9F" w:rsidRPr="00E71E9F" w:rsidRDefault="00CB575E" w:rsidP="00E71E9F">
      <w:pPr>
        <w:pStyle w:val="Titre1"/>
      </w:pPr>
      <w:bookmarkStart w:id="110" w:name="_Toc207183049"/>
      <w:bookmarkStart w:id="111" w:name="_Toc233204965"/>
      <w:r w:rsidRPr="00E71E9F">
        <w:t>Le revenu fiscal de référence et son impact</w:t>
      </w:r>
      <w:bookmarkEnd w:id="109"/>
      <w:bookmarkEnd w:id="110"/>
      <w:bookmarkEnd w:id="111"/>
    </w:p>
    <w:p w14:paraId="0F9284CF" w14:textId="77777777" w:rsidR="00E71E9F" w:rsidRDefault="00E71E9F" w:rsidP="002E5F2B">
      <w:pPr>
        <w:pStyle w:val="Paragraphe-CGPC"/>
        <w:rPr>
          <w:rFonts w:eastAsiaTheme="majorEastAsia"/>
          <w:color w:val="3A5D9C"/>
          <w:sz w:val="44"/>
          <w:szCs w:val="26"/>
          <w:bdr w:val="none" w:sz="0" w:space="0" w:color="auto" w:frame="1"/>
        </w:rPr>
      </w:pPr>
      <w:r>
        <w:br w:type="page"/>
      </w:r>
    </w:p>
    <w:p w14:paraId="1AA1796D" w14:textId="77777777" w:rsidR="00CB575E" w:rsidRPr="009201C0" w:rsidRDefault="00CB575E" w:rsidP="002E5F2B">
      <w:pPr>
        <w:pStyle w:val="Paragraphe-CGPC"/>
      </w:pPr>
      <w:r w:rsidRPr="009201C0">
        <w:lastRenderedPageBreak/>
        <w:t>Le revenu fiscal de référence prend en compte l’ensemble des revenus d’un ménage, qu’ils soient imposables ou non.</w:t>
      </w:r>
    </w:p>
    <w:p w14:paraId="3FBC0079" w14:textId="77777777" w:rsidR="00CB575E" w:rsidRPr="009201C0" w:rsidRDefault="00CB575E" w:rsidP="002E5F2B">
      <w:pPr>
        <w:pStyle w:val="Paragraphe-CGPC"/>
      </w:pPr>
      <w:r w:rsidRPr="009201C0">
        <w:t>Il peut alors permettre de déterminer si le foyer fiscal remplit les conditions pour bénéficier :</w:t>
      </w:r>
    </w:p>
    <w:p w14:paraId="2A6AEC70" w14:textId="77777777" w:rsidR="00CB575E" w:rsidRPr="009201C0" w:rsidRDefault="00CB575E" w:rsidP="002E5F2B">
      <w:pPr>
        <w:pStyle w:val="Paragraphe-CGPC"/>
      </w:pPr>
      <w:r w:rsidRPr="009201C0">
        <w:t>De certaines aides sociales (par exemple, la bourse des collèges) ;</w:t>
      </w:r>
    </w:p>
    <w:p w14:paraId="62FD4D4B" w14:textId="77777777" w:rsidR="00CB575E" w:rsidRPr="009201C0" w:rsidRDefault="00CB575E" w:rsidP="002E5F2B">
      <w:pPr>
        <w:pStyle w:val="Paragraphe-CGPC"/>
      </w:pPr>
      <w:r w:rsidRPr="009201C0">
        <w:t>De certains avantages fiscaux (par exemple, des exonérations en matière d’impôts locaux).</w:t>
      </w:r>
    </w:p>
    <w:p w14:paraId="2A8B1076" w14:textId="77777777" w:rsidR="00CB575E" w:rsidRPr="009201C0" w:rsidRDefault="00CB575E" w:rsidP="002E5F2B">
      <w:pPr>
        <w:pStyle w:val="Paragraphe-CGPC"/>
      </w:pPr>
      <w:r w:rsidRPr="009201C0">
        <w:t>Le revenu fiscal de référence sert notamment de critère :</w:t>
      </w:r>
    </w:p>
    <w:p w14:paraId="34034D05" w14:textId="40E63815" w:rsidR="00CB575E" w:rsidRPr="009201C0" w:rsidRDefault="00CB575E" w:rsidP="002E5F2B">
      <w:pPr>
        <w:pStyle w:val="Paragraphe-CGPC"/>
        <w:numPr>
          <w:ilvl w:val="0"/>
          <w:numId w:val="22"/>
        </w:numPr>
      </w:pPr>
      <w:r w:rsidRPr="009201C0">
        <w:t>D’exonération de CSG et CRDS sur l’aide au retour à l’emploi,</w:t>
      </w:r>
    </w:p>
    <w:p w14:paraId="7DAE7D99" w14:textId="1051775F" w:rsidR="00CB575E" w:rsidRPr="009201C0" w:rsidRDefault="00CB575E" w:rsidP="002E5F2B">
      <w:pPr>
        <w:pStyle w:val="Paragraphe-CGPC"/>
        <w:numPr>
          <w:ilvl w:val="0"/>
          <w:numId w:val="22"/>
        </w:numPr>
      </w:pPr>
      <w:r w:rsidRPr="009201C0">
        <w:t xml:space="preserve">D’exonération ou d’allégement </w:t>
      </w:r>
      <w:r w:rsidRPr="00BF2476">
        <w:rPr>
          <w:strike/>
          <w:color w:val="EE0000"/>
        </w:rPr>
        <w:t>de taxe d’habitation et</w:t>
      </w:r>
      <w:r w:rsidRPr="00BF2476">
        <w:rPr>
          <w:color w:val="EE0000"/>
        </w:rPr>
        <w:t xml:space="preserve"> </w:t>
      </w:r>
      <w:r w:rsidRPr="009201C0">
        <w:t>de taxe foncière </w:t>
      </w:r>
      <w:r w:rsidRPr="00BF2476">
        <w:rPr>
          <w:strike/>
          <w:color w:val="EE0000"/>
        </w:rPr>
        <w:t>afférentes à l’habitation principale</w:t>
      </w:r>
      <w:r w:rsidRPr="009201C0">
        <w:t>, par exemple pour les titulaires du RSA ;</w:t>
      </w:r>
    </w:p>
    <w:p w14:paraId="2A154D0C" w14:textId="16A83C2E" w:rsidR="00CB575E" w:rsidRPr="009201C0" w:rsidRDefault="00CB575E" w:rsidP="002E5F2B">
      <w:pPr>
        <w:pStyle w:val="Paragraphe-CGPC"/>
        <w:numPr>
          <w:ilvl w:val="0"/>
          <w:numId w:val="22"/>
        </w:numPr>
      </w:pPr>
      <w:r w:rsidRPr="009201C0">
        <w:t>D’exonération des plus-values immobilières réalisées par les titulaires de pensions de vieillesse ou d’une carte d’invalidité,</w:t>
      </w:r>
    </w:p>
    <w:p w14:paraId="0E397F95" w14:textId="7E95791D" w:rsidR="00CB575E" w:rsidRPr="009201C0" w:rsidRDefault="00CB575E" w:rsidP="002E5F2B">
      <w:pPr>
        <w:pStyle w:val="Paragraphe-CGPC"/>
        <w:numPr>
          <w:ilvl w:val="0"/>
          <w:numId w:val="22"/>
        </w:numPr>
      </w:pPr>
      <w:r w:rsidRPr="009201C0">
        <w:t>De l’établissement de la Contribution exceptionnelle sur les hauts revenus,</w:t>
      </w:r>
    </w:p>
    <w:p w14:paraId="36B89B21" w14:textId="77777777" w:rsidR="00356EFA" w:rsidRDefault="00356EFA" w:rsidP="002E5F2B">
      <w:pPr>
        <w:pStyle w:val="Paragraphe-CGPC"/>
      </w:pPr>
    </w:p>
    <w:p w14:paraId="0995A510" w14:textId="7C4C9BA4" w:rsidR="00CB575E" w:rsidRPr="00BF2476" w:rsidRDefault="00CB575E" w:rsidP="002E5F2B">
      <w:pPr>
        <w:pStyle w:val="Paragraphe-CGPC"/>
        <w:rPr>
          <w:color w:val="EE0000"/>
        </w:rPr>
      </w:pPr>
      <w:r w:rsidRPr="009201C0">
        <w:t xml:space="preserve">Le revenu fiscal de référence est calculé par l’administration, à partir </w:t>
      </w:r>
      <w:r w:rsidRPr="00BF2476">
        <w:rPr>
          <w:strike/>
          <w:color w:val="EE0000"/>
        </w:rPr>
        <w:t>de plusieurs éléments, dont :</w:t>
      </w:r>
      <w:r w:rsidR="00C759B4">
        <w:rPr>
          <w:strike/>
          <w:color w:val="EE0000"/>
        </w:rPr>
        <w:t xml:space="preserve"> </w:t>
      </w:r>
      <w:r w:rsidR="00C759B4">
        <w:rPr>
          <w:color w:val="EE0000"/>
        </w:rPr>
        <w:t xml:space="preserve">du revenu net </w:t>
      </w:r>
      <w:r w:rsidR="00FE2C0E">
        <w:rPr>
          <w:color w:val="EE0000"/>
        </w:rPr>
        <w:t xml:space="preserve">imposable </w:t>
      </w:r>
    </w:p>
    <w:p w14:paraId="36AADDB5" w14:textId="77777777" w:rsidR="004F40D2" w:rsidRPr="002E5F2B" w:rsidRDefault="00CB575E" w:rsidP="002E5F2B">
      <w:pPr>
        <w:pStyle w:val="Paragraphe-CGPC"/>
        <w:numPr>
          <w:ilvl w:val="0"/>
          <w:numId w:val="22"/>
        </w:numPr>
      </w:pPr>
      <w:r w:rsidRPr="002E5F2B">
        <w:t xml:space="preserve">Revenus de l’année (salaires, pensions de retraite, revenus fonciers, pensions diverses…) dont on enlève certains abattements (10% sur les salaires et retraites ou frais réels) </w:t>
      </w:r>
    </w:p>
    <w:p w14:paraId="4CE9FA07" w14:textId="54083388" w:rsidR="00CB575E" w:rsidRPr="002E5F2B" w:rsidRDefault="00CB575E" w:rsidP="002E5F2B">
      <w:pPr>
        <w:pStyle w:val="Paragraphe-CGPC"/>
        <w:numPr>
          <w:ilvl w:val="0"/>
          <w:numId w:val="22"/>
        </w:numPr>
      </w:pPr>
      <w:r w:rsidRPr="002E5F2B">
        <w:t>= Revenu brut global</w:t>
      </w:r>
    </w:p>
    <w:p w14:paraId="4729C69E" w14:textId="53D0845F" w:rsidR="00CB575E" w:rsidRPr="002E5F2B" w:rsidRDefault="00CB575E" w:rsidP="002E5F2B">
      <w:pPr>
        <w:pStyle w:val="Paragraphe-CGPC"/>
        <w:numPr>
          <w:ilvl w:val="0"/>
          <w:numId w:val="22"/>
        </w:numPr>
      </w:pPr>
      <w:r w:rsidRPr="002E5F2B">
        <w:t>Revenu brut global dont on enlève les charges déductibles (pensions alimentaires, épargne retraite) = Revenu net global</w:t>
      </w:r>
    </w:p>
    <w:p w14:paraId="28B580B4" w14:textId="783B438F" w:rsidR="00CB575E" w:rsidRPr="002E5F2B" w:rsidRDefault="00CB575E" w:rsidP="002E5F2B">
      <w:pPr>
        <w:pStyle w:val="Paragraphe-CGPC"/>
        <w:numPr>
          <w:ilvl w:val="0"/>
          <w:numId w:val="22"/>
        </w:numPr>
      </w:pPr>
      <w:r w:rsidRPr="002E5F2B">
        <w:t>Revenu net global dont on enlève les abattements spéciaux (pour les personnes âgées ou en situation d’invalidité…) = Revenu net imposable</w:t>
      </w:r>
    </w:p>
    <w:p w14:paraId="337D308B" w14:textId="77777777" w:rsidR="00C43C79" w:rsidRPr="009201C0" w:rsidRDefault="00C43C79" w:rsidP="00BF2476">
      <w:pPr>
        <w:pStyle w:val="Paragraphe-CGPC"/>
      </w:pPr>
    </w:p>
    <w:p w14:paraId="5617430B" w14:textId="12DF2CB9" w:rsidR="00CB575E" w:rsidRPr="009201C0" w:rsidRDefault="00CB575E" w:rsidP="002E5F2B">
      <w:pPr>
        <w:pStyle w:val="Paragraphe-CGPC"/>
      </w:pPr>
      <w:r w:rsidRPr="00A87A23">
        <w:t>Pour obtenir le revenu fiscal de référence, le revenu net imposable est ensuite augmenté, notamment</w:t>
      </w:r>
      <w:r w:rsidRPr="009201C0">
        <w:t> :</w:t>
      </w:r>
    </w:p>
    <w:p w14:paraId="5573EC0A" w14:textId="256ED640" w:rsidR="00CB575E" w:rsidRPr="009201C0" w:rsidRDefault="00CB575E" w:rsidP="002E5F2B">
      <w:pPr>
        <w:pStyle w:val="Paragraphe-CGPC"/>
        <w:numPr>
          <w:ilvl w:val="0"/>
          <w:numId w:val="22"/>
        </w:numPr>
      </w:pPr>
      <w:r w:rsidRPr="009201C0">
        <w:t>Du montant de certaines charges, cotisations ou primes déductibles du revenu global : articles 163 unvicies (copropriété des navires de commerce), 163 duovicies (financement de la pêche artisanale) et 163 quatervicies du CGI (plan d’épargne retraite populaire), investissements dans les </w:t>
      </w:r>
      <w:proofErr w:type="spellStart"/>
      <w:r w:rsidRPr="009201C0">
        <w:t>Sofica</w:t>
      </w:r>
      <w:proofErr w:type="spellEnd"/>
      <w:r w:rsidRPr="009201C0">
        <w:t xml:space="preserve">, </w:t>
      </w:r>
      <w:proofErr w:type="spellStart"/>
      <w:r w:rsidRPr="009201C0">
        <w:t>Sofipêche</w:t>
      </w:r>
      <w:proofErr w:type="spellEnd"/>
      <w:r w:rsidRPr="009201C0">
        <w:t>, DOM-TOM, etc.</w:t>
      </w:r>
    </w:p>
    <w:p w14:paraId="5B331CD0" w14:textId="01086E6C" w:rsidR="00CB575E" w:rsidRPr="009201C0" w:rsidRDefault="00CB575E" w:rsidP="002E5F2B">
      <w:pPr>
        <w:pStyle w:val="Paragraphe-CGPC"/>
        <w:numPr>
          <w:ilvl w:val="0"/>
          <w:numId w:val="22"/>
        </w:numPr>
      </w:pPr>
      <w:r w:rsidRPr="009201C0">
        <w:lastRenderedPageBreak/>
        <w:t>Du montant de l’abattement de 40% sur les dividendes en cas d’option pour le barème progressif</w:t>
      </w:r>
    </w:p>
    <w:p w14:paraId="52E547F4" w14:textId="5E57C3AE" w:rsidR="00CB575E" w:rsidRPr="009201C0" w:rsidRDefault="00CB575E" w:rsidP="002E5F2B">
      <w:pPr>
        <w:pStyle w:val="Paragraphe-CGPC"/>
        <w:numPr>
          <w:ilvl w:val="0"/>
          <w:numId w:val="22"/>
        </w:numPr>
      </w:pPr>
      <w:r w:rsidRPr="009201C0">
        <w:t>Du montant des abattements pour durée de détention des titres de sociétés.</w:t>
      </w:r>
    </w:p>
    <w:p w14:paraId="4106472A" w14:textId="2A674D04" w:rsidR="00CB575E" w:rsidRPr="009201C0" w:rsidRDefault="00CB575E" w:rsidP="002E5F2B">
      <w:pPr>
        <w:pStyle w:val="Paragraphe-CGPC"/>
        <w:numPr>
          <w:ilvl w:val="0"/>
          <w:numId w:val="22"/>
        </w:numPr>
      </w:pPr>
      <w:r w:rsidRPr="009201C0">
        <w:t>Du montant des plus-values en report d’imposition</w:t>
      </w:r>
    </w:p>
    <w:p w14:paraId="28E4E2D6" w14:textId="35BD9A53" w:rsidR="00CB575E" w:rsidRPr="009201C0" w:rsidRDefault="00CB575E" w:rsidP="002E5F2B">
      <w:pPr>
        <w:pStyle w:val="Paragraphe-CGPC"/>
        <w:numPr>
          <w:ilvl w:val="0"/>
          <w:numId w:val="22"/>
        </w:numPr>
      </w:pPr>
      <w:r w:rsidRPr="009201C0">
        <w:t>Des bénéfices exonérés en application des articles 44 sexies, 44 sexies A, 44 octies, 44 octies A, 44 decies, 44 undecies, 44 terdecies et 44 quaterdecies du CGI, ainsi que de l’article 93-0 A du code précité et de l’article 93-9 du même code : zones franches, jeunes entreprises innovantes, entreprises nouvelles</w:t>
      </w:r>
    </w:p>
    <w:p w14:paraId="6FDEF7A4" w14:textId="54FABFF4" w:rsidR="00CB575E" w:rsidRPr="009201C0" w:rsidRDefault="00CB575E" w:rsidP="002E5F2B">
      <w:pPr>
        <w:pStyle w:val="Paragraphe-CGPC"/>
        <w:numPr>
          <w:ilvl w:val="0"/>
          <w:numId w:val="22"/>
        </w:numPr>
      </w:pPr>
      <w:r w:rsidRPr="009201C0">
        <w:t>Du montant des revenus soumis aux prélèvements libératoires : forfait fiscal des auto-entrepreneurs, etc.</w:t>
      </w:r>
    </w:p>
    <w:p w14:paraId="57CF4EDB" w14:textId="37DD01B1" w:rsidR="00CB575E" w:rsidRPr="009201C0" w:rsidRDefault="00CB575E" w:rsidP="002E5F2B">
      <w:pPr>
        <w:pStyle w:val="Paragraphe-CGPC"/>
        <w:numPr>
          <w:ilvl w:val="0"/>
          <w:numId w:val="22"/>
        </w:numPr>
      </w:pPr>
      <w:r w:rsidRPr="009201C0">
        <w:t>Des revenus exonérés perçus par les expatriés</w:t>
      </w:r>
    </w:p>
    <w:p w14:paraId="47110033" w14:textId="79128641" w:rsidR="00CB575E" w:rsidRPr="009201C0" w:rsidRDefault="00CB575E" w:rsidP="002E5F2B">
      <w:pPr>
        <w:pStyle w:val="Paragraphe-CGPC"/>
        <w:numPr>
          <w:ilvl w:val="0"/>
          <w:numId w:val="22"/>
        </w:numPr>
      </w:pPr>
      <w:r w:rsidRPr="009201C0">
        <w:t>Des plus-values professionnelles exonérées</w:t>
      </w:r>
    </w:p>
    <w:p w14:paraId="724179CB" w14:textId="68C7688C" w:rsidR="00CB575E" w:rsidRPr="009201C0" w:rsidRDefault="00CB575E" w:rsidP="002E5F2B">
      <w:pPr>
        <w:pStyle w:val="Paragraphe-CGPC"/>
        <w:numPr>
          <w:ilvl w:val="0"/>
          <w:numId w:val="22"/>
        </w:numPr>
      </w:pPr>
      <w:r w:rsidRPr="009201C0">
        <w:t>Du montant des plus-values exonérées en application de l’article 150-0 A-III-1, 1 bis et 7 du CGI1</w:t>
      </w:r>
    </w:p>
    <w:p w14:paraId="54EA55B5" w14:textId="4B2CED44" w:rsidR="00CB575E" w:rsidRPr="009201C0" w:rsidRDefault="00CB575E" w:rsidP="002E5F2B">
      <w:pPr>
        <w:pStyle w:val="Paragraphe-CGPC"/>
        <w:numPr>
          <w:ilvl w:val="0"/>
          <w:numId w:val="22"/>
        </w:numPr>
      </w:pPr>
      <w:r w:rsidRPr="009201C0">
        <w:t>Des sommes correspondant aux droits figurant sur un compte d’épargne temps et utilisés en exonération d’impôt sur le revenu.</w:t>
      </w:r>
    </w:p>
    <w:p w14:paraId="08CB1A0C" w14:textId="77777777" w:rsidR="00DE7509" w:rsidRDefault="00DE7509" w:rsidP="002E5F2B">
      <w:pPr>
        <w:pStyle w:val="Paragraphe-CGPC"/>
      </w:pPr>
    </w:p>
    <w:p w14:paraId="3CE6EF6C" w14:textId="559D2617" w:rsidR="00CB575E" w:rsidRPr="009201C0" w:rsidRDefault="00CB575E" w:rsidP="002E5F2B">
      <w:pPr>
        <w:pStyle w:val="Paragraphe-CGPC"/>
      </w:pPr>
      <w:r w:rsidRPr="009201C0">
        <w:t>Une contribution exceptionnelle est appliquée aux contribuables dont le revenu fiscal de référence est supérieur à 250 000 euros (personnes seules) ou 500 000 euros (couples imposés ensemble).</w:t>
      </w:r>
    </w:p>
    <w:p w14:paraId="027BE6F1" w14:textId="128FF5A0" w:rsidR="00CB575E" w:rsidRPr="009201C0" w:rsidRDefault="00CB575E" w:rsidP="002E5F2B">
      <w:pPr>
        <w:pStyle w:val="Paragraphe-CGPC"/>
      </w:pPr>
      <w:r w:rsidRPr="00AD7D56">
        <w:rPr>
          <w:b/>
          <w:u w:val="single"/>
        </w:rPr>
        <w:t>Exemple :</w:t>
      </w:r>
      <w:r w:rsidRPr="009201C0">
        <w:t> un célibataire disposant d’un revenu fiscal de référence de 400 000 € doit payer une contribution exceptionnelle de (400 000 € – 250 000 €) x 3 % = 4 500 €.</w:t>
      </w:r>
    </w:p>
    <w:p w14:paraId="665763D2" w14:textId="77777777" w:rsidR="00CB575E" w:rsidRPr="009201C0" w:rsidRDefault="00CB575E" w:rsidP="002E5F2B">
      <w:pPr>
        <w:pStyle w:val="Paragraphe-CGPC"/>
      </w:pPr>
      <w:r w:rsidRPr="009201C0">
        <w:t>Un mécanisme de lissage peut s’appliquer pour atténuer cette imposition si le foyer fiscal bénéficie de revenus considérés comme exceptionnels en raison de leur montant. En cas de modification de la situation de famille (mariage, divorce, décès, etc.), le mécanisme de lissage s’applique selon des règles particulières.</w:t>
      </w:r>
    </w:p>
    <w:p w14:paraId="419D58F1" w14:textId="77777777" w:rsidR="00CB575E" w:rsidRPr="009201C0" w:rsidRDefault="00CB575E" w:rsidP="002E5F2B">
      <w:pPr>
        <w:pStyle w:val="Paragraphe-CGPC"/>
      </w:pPr>
      <w:r w:rsidRPr="009201C0">
        <w:t> </w:t>
      </w:r>
    </w:p>
    <w:tbl>
      <w:tblPr>
        <w:tblW w:w="21000" w:type="dxa"/>
        <w:tblBorders>
          <w:top w:val="single" w:sz="6" w:space="0" w:color="EEEEEE"/>
          <w:left w:val="single" w:sz="6" w:space="0" w:color="EEEEEE"/>
          <w:bottom w:val="single" w:sz="6" w:space="0" w:color="EEEEEE"/>
          <w:right w:val="single" w:sz="6" w:space="0" w:color="EEEEEE"/>
        </w:tblBorders>
        <w:tblCellMar>
          <w:top w:w="15" w:type="dxa"/>
          <w:left w:w="15" w:type="dxa"/>
          <w:bottom w:w="15" w:type="dxa"/>
          <w:right w:w="15" w:type="dxa"/>
        </w:tblCellMar>
        <w:tblLook w:val="04A0" w:firstRow="1" w:lastRow="0" w:firstColumn="1" w:lastColumn="0" w:noHBand="0" w:noVBand="1"/>
      </w:tblPr>
      <w:tblGrid>
        <w:gridCol w:w="10025"/>
        <w:gridCol w:w="4735"/>
        <w:gridCol w:w="6240"/>
      </w:tblGrid>
      <w:tr w:rsidR="00CB575E" w:rsidRPr="009201C0" w14:paraId="156B1404" w14:textId="77777777" w:rsidTr="00CB575E">
        <w:tc>
          <w:tcPr>
            <w:tcW w:w="8775" w:type="dxa"/>
            <w:gridSpan w:val="3"/>
            <w:tcBorders>
              <w:top w:val="single" w:sz="6" w:space="0" w:color="EEEEEE"/>
            </w:tcBorders>
            <w:tcMar>
              <w:top w:w="206" w:type="dxa"/>
              <w:left w:w="141" w:type="dxa"/>
              <w:bottom w:w="206" w:type="dxa"/>
              <w:right w:w="141" w:type="dxa"/>
            </w:tcMar>
            <w:vAlign w:val="center"/>
            <w:hideMark/>
          </w:tcPr>
          <w:p w14:paraId="4C69E460" w14:textId="77777777" w:rsidR="00CB575E" w:rsidRPr="009201C0" w:rsidRDefault="00CB575E" w:rsidP="002E5F2B">
            <w:pPr>
              <w:pStyle w:val="Paragraphe-CGPC"/>
            </w:pPr>
            <w:r w:rsidRPr="009201C0">
              <w:t>Contribution exceptionnelle sur les hauts revenus : taux applicable selon la situation de famille</w:t>
            </w:r>
          </w:p>
        </w:tc>
      </w:tr>
      <w:tr w:rsidR="00CB575E" w:rsidRPr="009201C0" w14:paraId="6E7B9955" w14:textId="77777777" w:rsidTr="00CB575E">
        <w:tc>
          <w:tcPr>
            <w:tcW w:w="3525" w:type="dxa"/>
            <w:tcBorders>
              <w:top w:val="single" w:sz="6" w:space="0" w:color="EEEEEE"/>
            </w:tcBorders>
            <w:tcMar>
              <w:top w:w="206" w:type="dxa"/>
              <w:left w:w="141" w:type="dxa"/>
              <w:bottom w:w="206" w:type="dxa"/>
              <w:right w:w="141" w:type="dxa"/>
            </w:tcMar>
            <w:vAlign w:val="center"/>
            <w:hideMark/>
          </w:tcPr>
          <w:p w14:paraId="47EB8876" w14:textId="77777777" w:rsidR="00CB575E" w:rsidRPr="009201C0" w:rsidRDefault="00CB575E" w:rsidP="002E5F2B">
            <w:pPr>
              <w:pStyle w:val="Paragraphe-CGPC"/>
            </w:pPr>
            <w:r w:rsidRPr="009201C0">
              <w:lastRenderedPageBreak/>
              <w:t>Fraction du revenu fiscal de référence</w:t>
            </w:r>
          </w:p>
        </w:tc>
        <w:tc>
          <w:tcPr>
            <w:tcW w:w="2265" w:type="dxa"/>
            <w:tcBorders>
              <w:top w:val="single" w:sz="6" w:space="0" w:color="EEEEEE"/>
            </w:tcBorders>
            <w:tcMar>
              <w:top w:w="206" w:type="dxa"/>
              <w:left w:w="141" w:type="dxa"/>
              <w:bottom w:w="206" w:type="dxa"/>
              <w:right w:w="141" w:type="dxa"/>
            </w:tcMar>
            <w:vAlign w:val="center"/>
            <w:hideMark/>
          </w:tcPr>
          <w:p w14:paraId="31DEFABF" w14:textId="77777777" w:rsidR="00CB575E" w:rsidRPr="009201C0" w:rsidRDefault="00CB575E" w:rsidP="002E5F2B">
            <w:pPr>
              <w:pStyle w:val="Paragraphe-CGPC"/>
            </w:pPr>
            <w:r w:rsidRPr="009201C0">
              <w:t>Taux applicable pour une personne seule</w:t>
            </w:r>
          </w:p>
        </w:tc>
        <w:tc>
          <w:tcPr>
            <w:tcW w:w="2970" w:type="dxa"/>
            <w:tcBorders>
              <w:top w:val="single" w:sz="6" w:space="0" w:color="EEEEEE"/>
            </w:tcBorders>
            <w:tcMar>
              <w:top w:w="206" w:type="dxa"/>
              <w:left w:w="141" w:type="dxa"/>
              <w:bottom w:w="206" w:type="dxa"/>
              <w:right w:w="141" w:type="dxa"/>
            </w:tcMar>
            <w:vAlign w:val="center"/>
            <w:hideMark/>
          </w:tcPr>
          <w:p w14:paraId="52465018" w14:textId="77777777" w:rsidR="00CB575E" w:rsidRPr="009201C0" w:rsidRDefault="00CB575E" w:rsidP="002E5F2B">
            <w:pPr>
              <w:pStyle w:val="Paragraphe-CGPC"/>
            </w:pPr>
            <w:r w:rsidRPr="009201C0">
              <w:t>Taux applicable pour un couple soumis à une imposition commune</w:t>
            </w:r>
          </w:p>
        </w:tc>
      </w:tr>
      <w:tr w:rsidR="00CB575E" w:rsidRPr="009201C0" w14:paraId="419E028D" w14:textId="77777777" w:rsidTr="00CB575E">
        <w:tc>
          <w:tcPr>
            <w:tcW w:w="3525" w:type="dxa"/>
            <w:tcBorders>
              <w:top w:val="single" w:sz="6" w:space="0" w:color="EEEEEE"/>
            </w:tcBorders>
            <w:tcMar>
              <w:top w:w="206" w:type="dxa"/>
              <w:left w:w="141" w:type="dxa"/>
              <w:bottom w:w="206" w:type="dxa"/>
              <w:right w:w="141" w:type="dxa"/>
            </w:tcMar>
            <w:vAlign w:val="center"/>
            <w:hideMark/>
          </w:tcPr>
          <w:p w14:paraId="16B6524F" w14:textId="77777777" w:rsidR="00CB575E" w:rsidRPr="009201C0" w:rsidRDefault="00CB575E" w:rsidP="002E5F2B">
            <w:pPr>
              <w:pStyle w:val="Paragraphe-CGPC"/>
            </w:pPr>
            <w:r w:rsidRPr="009201C0">
              <w:t>Inférieure ou égale à 250 000 €</w:t>
            </w:r>
          </w:p>
        </w:tc>
        <w:tc>
          <w:tcPr>
            <w:tcW w:w="2265" w:type="dxa"/>
            <w:tcBorders>
              <w:top w:val="single" w:sz="6" w:space="0" w:color="EEEEEE"/>
            </w:tcBorders>
            <w:tcMar>
              <w:top w:w="206" w:type="dxa"/>
              <w:left w:w="141" w:type="dxa"/>
              <w:bottom w:w="206" w:type="dxa"/>
              <w:right w:w="141" w:type="dxa"/>
            </w:tcMar>
            <w:vAlign w:val="center"/>
            <w:hideMark/>
          </w:tcPr>
          <w:p w14:paraId="6B80610F" w14:textId="77777777" w:rsidR="00CB575E" w:rsidRPr="009201C0" w:rsidRDefault="00CB575E" w:rsidP="002E5F2B">
            <w:pPr>
              <w:pStyle w:val="Paragraphe-CGPC"/>
            </w:pPr>
            <w:r w:rsidRPr="009201C0">
              <w:t>0 %</w:t>
            </w:r>
          </w:p>
        </w:tc>
        <w:tc>
          <w:tcPr>
            <w:tcW w:w="2970" w:type="dxa"/>
            <w:tcBorders>
              <w:top w:val="single" w:sz="6" w:space="0" w:color="EEEEEE"/>
            </w:tcBorders>
            <w:tcMar>
              <w:top w:w="206" w:type="dxa"/>
              <w:left w:w="141" w:type="dxa"/>
              <w:bottom w:w="206" w:type="dxa"/>
              <w:right w:w="141" w:type="dxa"/>
            </w:tcMar>
            <w:vAlign w:val="center"/>
            <w:hideMark/>
          </w:tcPr>
          <w:p w14:paraId="37187DC7" w14:textId="77777777" w:rsidR="00CB575E" w:rsidRPr="009201C0" w:rsidRDefault="00CB575E" w:rsidP="002E5F2B">
            <w:pPr>
              <w:pStyle w:val="Paragraphe-CGPC"/>
            </w:pPr>
            <w:r w:rsidRPr="009201C0">
              <w:t>0 %</w:t>
            </w:r>
          </w:p>
        </w:tc>
      </w:tr>
      <w:tr w:rsidR="00CB575E" w:rsidRPr="009201C0" w14:paraId="465399F2" w14:textId="77777777" w:rsidTr="00CB575E">
        <w:tc>
          <w:tcPr>
            <w:tcW w:w="3525" w:type="dxa"/>
            <w:tcBorders>
              <w:top w:val="single" w:sz="6" w:space="0" w:color="EEEEEE"/>
            </w:tcBorders>
            <w:tcMar>
              <w:top w:w="206" w:type="dxa"/>
              <w:left w:w="141" w:type="dxa"/>
              <w:bottom w:w="206" w:type="dxa"/>
              <w:right w:w="141" w:type="dxa"/>
            </w:tcMar>
            <w:vAlign w:val="center"/>
            <w:hideMark/>
          </w:tcPr>
          <w:p w14:paraId="65D4AB18" w14:textId="77777777" w:rsidR="00CB575E" w:rsidRPr="009201C0" w:rsidRDefault="00CB575E" w:rsidP="002E5F2B">
            <w:pPr>
              <w:pStyle w:val="Paragraphe-CGPC"/>
            </w:pPr>
            <w:r w:rsidRPr="009201C0">
              <w:t>Comprise entre 250 001 € et 500 000 €</w:t>
            </w:r>
          </w:p>
        </w:tc>
        <w:tc>
          <w:tcPr>
            <w:tcW w:w="2265" w:type="dxa"/>
            <w:tcBorders>
              <w:top w:val="single" w:sz="6" w:space="0" w:color="EEEEEE"/>
            </w:tcBorders>
            <w:tcMar>
              <w:top w:w="206" w:type="dxa"/>
              <w:left w:w="141" w:type="dxa"/>
              <w:bottom w:w="206" w:type="dxa"/>
              <w:right w:w="141" w:type="dxa"/>
            </w:tcMar>
            <w:vAlign w:val="center"/>
            <w:hideMark/>
          </w:tcPr>
          <w:p w14:paraId="2AB4A9B0" w14:textId="77777777" w:rsidR="00CB575E" w:rsidRPr="009201C0" w:rsidRDefault="00CB575E" w:rsidP="002E5F2B">
            <w:pPr>
              <w:pStyle w:val="Paragraphe-CGPC"/>
            </w:pPr>
            <w:r w:rsidRPr="009201C0">
              <w:t>3 %</w:t>
            </w:r>
          </w:p>
        </w:tc>
        <w:tc>
          <w:tcPr>
            <w:tcW w:w="2970" w:type="dxa"/>
            <w:tcBorders>
              <w:top w:val="single" w:sz="6" w:space="0" w:color="EEEEEE"/>
            </w:tcBorders>
            <w:tcMar>
              <w:top w:w="206" w:type="dxa"/>
              <w:left w:w="141" w:type="dxa"/>
              <w:bottom w:w="206" w:type="dxa"/>
              <w:right w:w="141" w:type="dxa"/>
            </w:tcMar>
            <w:vAlign w:val="center"/>
            <w:hideMark/>
          </w:tcPr>
          <w:p w14:paraId="6FDE82FA" w14:textId="77777777" w:rsidR="00CB575E" w:rsidRPr="009201C0" w:rsidRDefault="00CB575E" w:rsidP="002E5F2B">
            <w:pPr>
              <w:pStyle w:val="Paragraphe-CGPC"/>
            </w:pPr>
            <w:r w:rsidRPr="009201C0">
              <w:t>0 %</w:t>
            </w:r>
          </w:p>
        </w:tc>
      </w:tr>
      <w:tr w:rsidR="00CB575E" w:rsidRPr="009201C0" w14:paraId="746A7125" w14:textId="77777777" w:rsidTr="00CB575E">
        <w:tc>
          <w:tcPr>
            <w:tcW w:w="3525" w:type="dxa"/>
            <w:tcBorders>
              <w:top w:val="single" w:sz="6" w:space="0" w:color="EEEEEE"/>
            </w:tcBorders>
            <w:tcMar>
              <w:top w:w="206" w:type="dxa"/>
              <w:left w:w="141" w:type="dxa"/>
              <w:bottom w:w="206" w:type="dxa"/>
              <w:right w:w="141" w:type="dxa"/>
            </w:tcMar>
            <w:vAlign w:val="center"/>
            <w:hideMark/>
          </w:tcPr>
          <w:p w14:paraId="1045ACC3" w14:textId="77777777" w:rsidR="00CB575E" w:rsidRPr="009201C0" w:rsidRDefault="00CB575E" w:rsidP="002E5F2B">
            <w:pPr>
              <w:pStyle w:val="Paragraphe-CGPC"/>
            </w:pPr>
            <w:r w:rsidRPr="009201C0">
              <w:t>Comprise entre 500 001 € et 1 000 000 €</w:t>
            </w:r>
          </w:p>
        </w:tc>
        <w:tc>
          <w:tcPr>
            <w:tcW w:w="2265" w:type="dxa"/>
            <w:tcBorders>
              <w:top w:val="single" w:sz="6" w:space="0" w:color="EEEEEE"/>
            </w:tcBorders>
            <w:tcMar>
              <w:top w:w="206" w:type="dxa"/>
              <w:left w:w="141" w:type="dxa"/>
              <w:bottom w:w="206" w:type="dxa"/>
              <w:right w:w="141" w:type="dxa"/>
            </w:tcMar>
            <w:vAlign w:val="center"/>
            <w:hideMark/>
          </w:tcPr>
          <w:p w14:paraId="5C017221" w14:textId="77777777" w:rsidR="00CB575E" w:rsidRPr="009201C0" w:rsidRDefault="00CB575E" w:rsidP="002E5F2B">
            <w:pPr>
              <w:pStyle w:val="Paragraphe-CGPC"/>
            </w:pPr>
            <w:r w:rsidRPr="009201C0">
              <w:t>4 %</w:t>
            </w:r>
          </w:p>
        </w:tc>
        <w:tc>
          <w:tcPr>
            <w:tcW w:w="2970" w:type="dxa"/>
            <w:tcBorders>
              <w:top w:val="single" w:sz="6" w:space="0" w:color="EEEEEE"/>
            </w:tcBorders>
            <w:tcMar>
              <w:top w:w="206" w:type="dxa"/>
              <w:left w:w="141" w:type="dxa"/>
              <w:bottom w:w="206" w:type="dxa"/>
              <w:right w:w="141" w:type="dxa"/>
            </w:tcMar>
            <w:vAlign w:val="center"/>
            <w:hideMark/>
          </w:tcPr>
          <w:p w14:paraId="3E844C28" w14:textId="77777777" w:rsidR="00CB575E" w:rsidRPr="009201C0" w:rsidRDefault="00CB575E" w:rsidP="002E5F2B">
            <w:pPr>
              <w:pStyle w:val="Paragraphe-CGPC"/>
            </w:pPr>
            <w:r w:rsidRPr="009201C0">
              <w:t>3 %</w:t>
            </w:r>
          </w:p>
        </w:tc>
      </w:tr>
      <w:tr w:rsidR="00CB575E" w:rsidRPr="009201C0" w14:paraId="74B1C66D" w14:textId="77777777" w:rsidTr="00CB575E">
        <w:tc>
          <w:tcPr>
            <w:tcW w:w="3525" w:type="dxa"/>
            <w:tcBorders>
              <w:top w:val="single" w:sz="6" w:space="0" w:color="EEEEEE"/>
            </w:tcBorders>
            <w:tcMar>
              <w:top w:w="206" w:type="dxa"/>
              <w:left w:w="141" w:type="dxa"/>
              <w:bottom w:w="206" w:type="dxa"/>
              <w:right w:w="141" w:type="dxa"/>
            </w:tcMar>
            <w:vAlign w:val="center"/>
            <w:hideMark/>
          </w:tcPr>
          <w:p w14:paraId="328397BF" w14:textId="77777777" w:rsidR="00CB575E" w:rsidRPr="009201C0" w:rsidRDefault="00CB575E" w:rsidP="002E5F2B">
            <w:pPr>
              <w:pStyle w:val="Paragraphe-CGPC"/>
            </w:pPr>
            <w:r w:rsidRPr="009201C0">
              <w:t>Supérieure à 1 000 000 €</w:t>
            </w:r>
          </w:p>
        </w:tc>
        <w:tc>
          <w:tcPr>
            <w:tcW w:w="2265" w:type="dxa"/>
            <w:tcBorders>
              <w:top w:val="single" w:sz="6" w:space="0" w:color="EEEEEE"/>
            </w:tcBorders>
            <w:tcMar>
              <w:top w:w="206" w:type="dxa"/>
              <w:left w:w="141" w:type="dxa"/>
              <w:bottom w:w="206" w:type="dxa"/>
              <w:right w:w="141" w:type="dxa"/>
            </w:tcMar>
            <w:vAlign w:val="center"/>
            <w:hideMark/>
          </w:tcPr>
          <w:p w14:paraId="7D61453D" w14:textId="77777777" w:rsidR="00CB575E" w:rsidRPr="009201C0" w:rsidRDefault="00CB575E" w:rsidP="002E5F2B">
            <w:pPr>
              <w:pStyle w:val="Paragraphe-CGPC"/>
            </w:pPr>
            <w:r w:rsidRPr="009201C0">
              <w:t>4 %</w:t>
            </w:r>
          </w:p>
        </w:tc>
        <w:tc>
          <w:tcPr>
            <w:tcW w:w="2970" w:type="dxa"/>
            <w:tcBorders>
              <w:top w:val="single" w:sz="6" w:space="0" w:color="EEEEEE"/>
            </w:tcBorders>
            <w:tcMar>
              <w:top w:w="206" w:type="dxa"/>
              <w:left w:w="141" w:type="dxa"/>
              <w:bottom w:w="206" w:type="dxa"/>
              <w:right w:w="141" w:type="dxa"/>
            </w:tcMar>
            <w:vAlign w:val="center"/>
            <w:hideMark/>
          </w:tcPr>
          <w:p w14:paraId="17AA209C" w14:textId="77777777" w:rsidR="00CB575E" w:rsidRPr="009201C0" w:rsidRDefault="00CB575E" w:rsidP="002E5F2B">
            <w:pPr>
              <w:pStyle w:val="Paragraphe-CGPC"/>
            </w:pPr>
            <w:r w:rsidRPr="009201C0">
              <w:t>4 %</w:t>
            </w:r>
          </w:p>
        </w:tc>
      </w:tr>
    </w:tbl>
    <w:p w14:paraId="631647EB" w14:textId="74F786A2" w:rsidR="00AD7D56" w:rsidRDefault="00CB575E" w:rsidP="002E5F2B">
      <w:pPr>
        <w:pStyle w:val="Paragraphe-CGPC"/>
      </w:pPr>
      <w:r w:rsidRPr="009201C0">
        <w:t> </w:t>
      </w:r>
    </w:p>
    <w:p w14:paraId="56F4E94A" w14:textId="77777777" w:rsidR="00AD7D56" w:rsidRDefault="00AD7D56" w:rsidP="002E5F2B">
      <w:pPr>
        <w:pStyle w:val="Paragraphe-CGPC"/>
      </w:pPr>
      <w:r>
        <w:br w:type="page"/>
      </w:r>
    </w:p>
    <w:p w14:paraId="10324E6E" w14:textId="77824A95" w:rsidR="00A8744F" w:rsidRDefault="0069413E" w:rsidP="002E5F2B">
      <w:pPr>
        <w:pStyle w:val="Paragraphe-CGPC"/>
      </w:pPr>
      <w:r>
        <w:rPr>
          <w:noProof/>
        </w:rPr>
        <w:lastRenderedPageBreak/>
        <mc:AlternateContent>
          <mc:Choice Requires="wps">
            <w:drawing>
              <wp:anchor distT="0" distB="0" distL="114300" distR="114300" simplePos="0" relativeHeight="251656189" behindDoc="1" locked="0" layoutInCell="1" allowOverlap="1" wp14:anchorId="5C741AE8" wp14:editId="06D6E762">
                <wp:simplePos x="0" y="0"/>
                <wp:positionH relativeFrom="column">
                  <wp:posOffset>-882869</wp:posOffset>
                </wp:positionH>
                <wp:positionV relativeFrom="paragraph">
                  <wp:posOffset>-146794</wp:posOffset>
                </wp:positionV>
                <wp:extent cx="16238483" cy="8860811"/>
                <wp:effectExtent l="0" t="0" r="11430" b="16510"/>
                <wp:wrapNone/>
                <wp:docPr id="88384414" name="Rectangle 8"/>
                <wp:cNvGraphicFramePr/>
                <a:graphic xmlns:a="http://schemas.openxmlformats.org/drawingml/2006/main">
                  <a:graphicData uri="http://schemas.microsoft.com/office/word/2010/wordprocessingShape">
                    <wps:wsp>
                      <wps:cNvSpPr/>
                      <wps:spPr>
                        <a:xfrm>
                          <a:off x="0" y="0"/>
                          <a:ext cx="16238483" cy="886081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777C9C1" id="Rectangle 8" o:spid="_x0000_s1026" style="position:absolute;margin-left:-69.5pt;margin-top:-11.55pt;width:1278.6pt;height:697.7pt;z-index:-2516602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" fillcolor="#4472c4 [3204]" strokecolor="#09101d [484]" strokeweight="1pt"/>
            </w:pict>
          </mc:Fallback>
        </mc:AlternateContent>
      </w:r>
    </w:p>
    <w:p w14:paraId="797A0BC4" w14:textId="77777777" w:rsidR="00AD7D56" w:rsidRDefault="00AD7D56" w:rsidP="002E5F2B">
      <w:pPr>
        <w:pStyle w:val="Paragraphe-CGPC"/>
      </w:pPr>
    </w:p>
    <w:p w14:paraId="71DD60ED" w14:textId="77777777" w:rsidR="00AD7D56" w:rsidRDefault="00AD7D56" w:rsidP="002E5F2B">
      <w:pPr>
        <w:pStyle w:val="Paragraphe-CGPC"/>
      </w:pPr>
    </w:p>
    <w:p w14:paraId="364B9426" w14:textId="77777777" w:rsidR="00AD7D56" w:rsidRDefault="00AD7D56" w:rsidP="002E5F2B">
      <w:pPr>
        <w:pStyle w:val="Paragraphe-CGPC"/>
      </w:pPr>
    </w:p>
    <w:p w14:paraId="08DFFE85" w14:textId="77777777" w:rsidR="00AD7D56" w:rsidRDefault="00AD7D56" w:rsidP="002E5F2B">
      <w:pPr>
        <w:pStyle w:val="Paragraphe-CGPC"/>
      </w:pPr>
    </w:p>
    <w:p w14:paraId="43C1B923" w14:textId="77777777" w:rsidR="00AD7D56" w:rsidRDefault="00AD7D56" w:rsidP="002E5F2B">
      <w:pPr>
        <w:pStyle w:val="Paragraphe-CGPC"/>
      </w:pPr>
    </w:p>
    <w:p w14:paraId="21257622" w14:textId="77777777" w:rsidR="00AD7D56" w:rsidRDefault="00AD7D56" w:rsidP="002E5F2B">
      <w:pPr>
        <w:pStyle w:val="Paragraphe-CGPC"/>
      </w:pPr>
    </w:p>
    <w:p w14:paraId="19017794" w14:textId="08E4CC49" w:rsidR="00AD7D56" w:rsidRPr="009201C0" w:rsidRDefault="0000780B" w:rsidP="002E5F2B">
      <w:pPr>
        <w:pStyle w:val="Paragraphe-CGPC"/>
      </w:pPr>
      <w:r>
        <w:tab/>
      </w:r>
    </w:p>
    <w:p w14:paraId="3159A6F9" w14:textId="1D0F5773" w:rsidR="00AD7D56" w:rsidRPr="008B6FD2" w:rsidRDefault="004D5990" w:rsidP="008B6FD2">
      <w:pPr>
        <w:pStyle w:val="Titre1"/>
      </w:pPr>
      <w:bookmarkStart w:id="112" w:name="_Toc202191592"/>
      <w:bookmarkStart w:id="113" w:name="_Toc207183050"/>
      <w:bookmarkStart w:id="114" w:name="_Toc233204966"/>
      <w:r w:rsidRPr="008B6FD2">
        <w:t>La contribution différentielle </w:t>
      </w:r>
      <w:r w:rsidR="00A7110F" w:rsidRPr="008B6FD2">
        <w:t>sur</w:t>
      </w:r>
      <w:r w:rsidRPr="008B6FD2">
        <w:t xml:space="preserve"> les hauts revenus</w:t>
      </w:r>
      <w:bookmarkEnd w:id="112"/>
      <w:bookmarkEnd w:id="113"/>
      <w:bookmarkEnd w:id="114"/>
    </w:p>
    <w:p w14:paraId="1B9D8CAE" w14:textId="77777777" w:rsidR="00AD7D56" w:rsidRDefault="00AD7D56" w:rsidP="002E5F2B">
      <w:pPr>
        <w:pStyle w:val="Paragraphe-CGPC"/>
        <w:rPr>
          <w:rFonts w:eastAsiaTheme="majorEastAsia"/>
          <w:color w:val="3A5D9C"/>
          <w:sz w:val="44"/>
          <w:szCs w:val="26"/>
          <w:bdr w:val="none" w:sz="0" w:space="0" w:color="auto" w:frame="1"/>
        </w:rPr>
      </w:pPr>
      <w:r>
        <w:br w:type="page"/>
      </w:r>
    </w:p>
    <w:p w14:paraId="6A508CAF" w14:textId="77777777" w:rsidR="00E87295" w:rsidRDefault="00E87295" w:rsidP="002E5F2B">
      <w:pPr>
        <w:pStyle w:val="Paragraphe-CGPC"/>
      </w:pPr>
    </w:p>
    <w:p w14:paraId="51D03A43" w14:textId="05745863" w:rsidR="0084144B" w:rsidRPr="00FA265F" w:rsidRDefault="0084144B" w:rsidP="002E5F2B">
      <w:pPr>
        <w:pStyle w:val="Paragraphe-CGPC"/>
      </w:pPr>
      <w:r w:rsidRPr="00872B09">
        <w:t xml:space="preserve">L'article 10 de la loi de finances pour 2025 instaure une nouvelle contribution différentielle sur les hauts revenus (CDHR), partiellement codifiée dans un nouvel article 224 du CGI, visant à assurer une imposition minimale de 20 % à l'impôt sur le revenu pour les contribuables disposant des revenus </w:t>
      </w:r>
      <w:r w:rsidRPr="00BF2476">
        <w:rPr>
          <w:strike/>
        </w:rPr>
        <w:t>les plus élevés.</w:t>
      </w:r>
      <w:r w:rsidR="00FA265F">
        <w:rPr>
          <w:strike/>
        </w:rPr>
        <w:t xml:space="preserve"> </w:t>
      </w:r>
      <w:r w:rsidR="00C351D7">
        <w:t>s</w:t>
      </w:r>
      <w:r w:rsidR="00FA265F">
        <w:t xml:space="preserve">upérieurs à 250 000 € pour un célibataire ( </w:t>
      </w:r>
      <w:r w:rsidR="00D81879">
        <w:t>veuf, séparé ou divorcé) et 500 000 € pour un couple marié ou pacsé soumis à une imposition commune .</w:t>
      </w:r>
    </w:p>
    <w:p w14:paraId="3C58040B" w14:textId="77777777" w:rsidR="0084144B" w:rsidRPr="00BF2476" w:rsidRDefault="0084144B" w:rsidP="002E5F2B">
      <w:pPr>
        <w:pStyle w:val="Paragraphe-CGPC"/>
        <w:rPr>
          <w:strike/>
        </w:rPr>
      </w:pPr>
      <w:r w:rsidRPr="00BF2476">
        <w:rPr>
          <w:strike/>
        </w:rPr>
        <w:t>Temporaire, cette contribution différentielle s'applique pour un an seulement, au titre de l'imposition des revenus de l'année 2025.</w:t>
      </w:r>
    </w:p>
    <w:p w14:paraId="04D5B9DF" w14:textId="234B87C5" w:rsidR="00381675" w:rsidRPr="00381675" w:rsidRDefault="00381675" w:rsidP="002E5F2B">
      <w:pPr>
        <w:pStyle w:val="Paragraphe-CGPC"/>
      </w:pPr>
      <w:r>
        <w:t xml:space="preserve">La CDHR </w:t>
      </w:r>
      <w:r w:rsidR="000D2BDD">
        <w:t>a été prorogé</w:t>
      </w:r>
      <w:r w:rsidR="00987DAB">
        <w:t xml:space="preserve">e par la loi de finances </w:t>
      </w:r>
      <w:r w:rsidR="002F7AEF">
        <w:t>2026.</w:t>
      </w:r>
      <w:r w:rsidR="00E30421">
        <w:t xml:space="preserve"> </w:t>
      </w:r>
      <w:r w:rsidR="001B236E">
        <w:t>S</w:t>
      </w:r>
      <w:r w:rsidR="00E30421">
        <w:t xml:space="preserve">on application </w:t>
      </w:r>
      <w:r w:rsidR="001B236E">
        <w:t xml:space="preserve">est alignée </w:t>
      </w:r>
      <w:r w:rsidR="005A4A91">
        <w:t>sur l’objectif de réduction du déficit public en dessous de</w:t>
      </w:r>
      <w:r w:rsidR="002F7AEF">
        <w:t xml:space="preserve"> </w:t>
      </w:r>
      <w:r w:rsidR="005A4A91">
        <w:t xml:space="preserve">3% </w:t>
      </w:r>
      <w:r w:rsidR="002F7AEF">
        <w:t xml:space="preserve">du PIB. </w:t>
      </w:r>
    </w:p>
    <w:p w14:paraId="61A2B367" w14:textId="77777777" w:rsidR="00062739" w:rsidRPr="00BF2476" w:rsidRDefault="0084144B" w:rsidP="002E5F2B">
      <w:pPr>
        <w:pStyle w:val="Paragraphe-CGPC"/>
        <w:rPr>
          <w:strike/>
        </w:rPr>
      </w:pPr>
      <w:r w:rsidRPr="00872B09">
        <w:t>Cette contribution est distincte de l'impôt sur le revenu et de la contribution exceptionnelle sur les hauts revenus (CEHR) (</w:t>
      </w:r>
      <w:hyperlink r:id="rId23" w:history="1">
        <w:r w:rsidRPr="00872B09">
          <w:rPr>
            <w:rStyle w:val="Lienhypertexte"/>
          </w:rPr>
          <w:t>CGI art. 223 sexies</w:t>
        </w:r>
      </w:hyperlink>
      <w:r w:rsidRPr="00872B09">
        <w:t> ), auxquels elle s'ajoute.</w:t>
      </w:r>
      <w:r w:rsidRPr="00872B09">
        <w:br/>
      </w:r>
    </w:p>
    <w:p w14:paraId="179FDC76" w14:textId="32CD5527" w:rsidR="0084144B" w:rsidRPr="00BF2476" w:rsidRDefault="0084144B" w:rsidP="002E5F2B">
      <w:pPr>
        <w:pStyle w:val="Paragraphe-CGPC"/>
        <w:rPr>
          <w:strike/>
        </w:rPr>
      </w:pPr>
      <w:r w:rsidRPr="00BF2476">
        <w:rPr>
          <w:strike/>
        </w:rPr>
        <w:t>Sous réserve du mécanisme d'acompte exceptionnel mis en place pour l'imposition à la CDHR des revenus de l'année 202</w:t>
      </w:r>
      <w:r w:rsidR="007F2357" w:rsidRPr="00BF2476">
        <w:rPr>
          <w:strike/>
        </w:rPr>
        <w:t>6</w:t>
      </w:r>
      <w:r w:rsidRPr="00BF2476">
        <w:rPr>
          <w:strike/>
        </w:rPr>
        <w:t>, cette contribution différentielle sera déclarée et recouvrée selon les mêmes règles que l'impôt sur le revenu.</w:t>
      </w:r>
    </w:p>
    <w:p w14:paraId="0BDD6E3A" w14:textId="77777777" w:rsidR="00062739" w:rsidRDefault="00062739" w:rsidP="002E5F2B">
      <w:pPr>
        <w:pStyle w:val="Paragraphe-CGPC"/>
      </w:pPr>
    </w:p>
    <w:p w14:paraId="0FD60CD5" w14:textId="1CFF5E9D" w:rsidR="0084144B" w:rsidRPr="00872B09" w:rsidRDefault="0084144B" w:rsidP="002E5F2B">
      <w:pPr>
        <w:pStyle w:val="Paragraphe-CGPC"/>
      </w:pPr>
      <w:r w:rsidRPr="00872B09">
        <w:t>Seuls les contribuables domiciliés en France sont concernés</w:t>
      </w:r>
      <w:r w:rsidR="001D175C" w:rsidRPr="00872B09">
        <w:t xml:space="preserve"> </w:t>
      </w:r>
      <w:r w:rsidRPr="00872B09">
        <w:t>alors qu'ils entrent dans le champ de la CEHR.</w:t>
      </w:r>
    </w:p>
    <w:p w14:paraId="21B6FE14" w14:textId="59613305" w:rsidR="0084144B" w:rsidRPr="00872B09" w:rsidRDefault="0084144B" w:rsidP="002E5F2B">
      <w:pPr>
        <w:pStyle w:val="Paragraphe-CGPC"/>
      </w:pPr>
      <w:r w:rsidRPr="00872B09">
        <w:t>Aux termes de l'article 224, II du CGI, le revenu pris en compte pour déterminer le seuil d'assujettissement à la CDHR visé n° 2 et pour le calcul de l'impôt est défini par rapport au revenu fiscal de référence prévu à l'article 1417, IV-1° du CGI.</w:t>
      </w:r>
    </w:p>
    <w:p w14:paraId="5BEBFB1F" w14:textId="6621FC5A" w:rsidR="0084144B" w:rsidRPr="00872B09" w:rsidRDefault="0084144B" w:rsidP="002E5F2B">
      <w:pPr>
        <w:pStyle w:val="Paragraphe-CGPC"/>
      </w:pPr>
      <w:r w:rsidRPr="00872B09">
        <w:t>Le revenu fiscal de référence fait cependant l'objet de retraitements substantiels. Il est en effet diminué du montant de plusieurs revenus, pour l'essentiel exonérés, ou d'abattements d'assiette limitativement énumérés et dont la liste figure n° 4. Par ailleurs, certains revenus, qui entrent en principe dans la composition du revenu fiscal de référence, ne sont retenus que partiellement .</w:t>
      </w:r>
    </w:p>
    <w:p w14:paraId="3389655C" w14:textId="77777777" w:rsidR="0084144B" w:rsidRPr="00872B09" w:rsidRDefault="0084144B" w:rsidP="002E5F2B">
      <w:pPr>
        <w:pStyle w:val="Paragraphe-CGPC"/>
      </w:pPr>
      <w:r w:rsidRPr="00872B09">
        <w:t>Les montants des seuils d'assujettissement à la CEHR et à la CDHR sont identiques, mais, le revenu défini à l'article 224, II du CGI étant minoré par rapport au revenu fiscal de référence défini à l'article 1417, IV-1° du CGI, les contribuables assujettis à la CEHR ne sont pas de facto dans le champ de la CDHR. En revanche, tous les contribuables dans le champ de la CDHR sont parallèlement et a fortiori assujettis à la CEHR.</w:t>
      </w:r>
    </w:p>
    <w:p w14:paraId="26329AB0" w14:textId="4793BDC1" w:rsidR="00357DC1" w:rsidRPr="00872B09" w:rsidRDefault="00357DC1" w:rsidP="002E5F2B">
      <w:pPr>
        <w:pStyle w:val="Paragraphe-CGPC"/>
      </w:pPr>
      <w:r w:rsidRPr="00872B09">
        <w:lastRenderedPageBreak/>
        <w:t xml:space="preserve">La contribution, différentielle par définition, est égale à la différence, au cas où celle-ci serait positive, entre 20 % du revenu </w:t>
      </w:r>
      <w:r w:rsidR="004C1F51" w:rsidRPr="00872B09">
        <w:t xml:space="preserve">ainsi </w:t>
      </w:r>
      <w:r w:rsidRPr="00872B09">
        <w:t>défini et une imposition théorique, reconstituée, qui s'écarte toutefois substantiellement de l'imposition réellement acquittée.</w:t>
      </w:r>
    </w:p>
    <w:p w14:paraId="0EC59771" w14:textId="12BF56CC" w:rsidR="004C1F51" w:rsidRPr="00872B09" w:rsidRDefault="00357DC1" w:rsidP="002E5F2B">
      <w:pPr>
        <w:pStyle w:val="Paragraphe-CGPC"/>
      </w:pPr>
      <w:r w:rsidRPr="00872B09">
        <w:t xml:space="preserve">L'imposition à comparer à 20 % du revenu </w:t>
      </w:r>
      <w:r w:rsidR="004C1F51" w:rsidRPr="00872B09">
        <w:t>ainsi défini</w:t>
      </w:r>
      <w:r w:rsidRPr="00872B09">
        <w:t>. est égale à la somme de l'impôt sur le revenu lui-même retraité, des prélèvements libératoires de l'impôt sur le revenu, de la CEHR et d'une majoration liée à la composition du foyer fiscal (CGI art. 224, III-2°).</w:t>
      </w:r>
    </w:p>
    <w:p w14:paraId="555C81FC" w14:textId="1A7F24F5" w:rsidR="004C1F51" w:rsidRDefault="004C1F51" w:rsidP="002E5F2B">
      <w:pPr>
        <w:pStyle w:val="Paragraphe-CGPC"/>
      </w:pPr>
      <w:r w:rsidRPr="00872B09">
        <w:tab/>
      </w:r>
      <w:r w:rsidRPr="00872B09">
        <w:tab/>
      </w:r>
      <w:r w:rsidR="00CE5DF4" w:rsidRPr="00872B09">
        <w:t xml:space="preserve">Un </w:t>
      </w:r>
      <w:r w:rsidRPr="00872B09">
        <w:t>acompte, égal à 95 % du montant de la CDHR estimée par le contribuable doit être versé par le contribuable entre le 1er décembre 202</w:t>
      </w:r>
      <w:r w:rsidR="00046D22">
        <w:t>6</w:t>
      </w:r>
      <w:r w:rsidRPr="00872B09">
        <w:t xml:space="preserve"> et le 15 décembre 202</w:t>
      </w:r>
      <w:r w:rsidR="00046D22">
        <w:t>6</w:t>
      </w:r>
      <w:r w:rsidRPr="00872B09">
        <w:t>..</w:t>
      </w:r>
    </w:p>
    <w:p w14:paraId="4DFC809B" w14:textId="1486E00B" w:rsidR="002E5F2B" w:rsidRPr="00BF2476" w:rsidRDefault="002E5F2B" w:rsidP="002E5F2B">
      <w:pPr>
        <w:pStyle w:val="Paragraphe-CGPC"/>
      </w:pPr>
      <w:r w:rsidRPr="00BF2476">
        <w:t>L’acompte versé figurera sur l'avis d'imposition</w:t>
      </w:r>
      <w:r w:rsidRPr="002E5F2B">
        <w:t> émis à l'été </w:t>
      </w:r>
      <w:r w:rsidRPr="00BF2476">
        <w:t>2027</w:t>
      </w:r>
      <w:r w:rsidRPr="002E5F2B">
        <w:t>, à la suite de la déclaration des revenus de 2026 (au printemps 2027).</w:t>
      </w:r>
    </w:p>
    <w:p w14:paraId="2C1E9CAD" w14:textId="6E4EF2A1" w:rsidR="00555272" w:rsidRPr="00872B09" w:rsidRDefault="004C1F51" w:rsidP="002E5F2B">
      <w:pPr>
        <w:pStyle w:val="Paragraphe-CGPC"/>
      </w:pPr>
      <w:r w:rsidRPr="00872B09">
        <w:t>L'acompte doit être </w:t>
      </w:r>
      <w:r w:rsidR="00CE5DF4" w:rsidRPr="00872B09">
        <w:t>auto liquidé</w:t>
      </w:r>
      <w:r w:rsidRPr="00872B09">
        <w:t> par le contribuable.</w:t>
      </w:r>
    </w:p>
    <w:p w14:paraId="62A2DE54" w14:textId="1AB98620" w:rsidR="003F0BB5" w:rsidRDefault="00555272" w:rsidP="002E5F2B">
      <w:pPr>
        <w:pStyle w:val="Paragraphe-CGPC"/>
      </w:pPr>
      <w:r w:rsidRPr="00872B09">
        <w:br/>
        <w:t>Le montant de l'acompte à verser est déterminé par le contribuable en appliquant les dispositions de l'article 224 du CGI aux éléments nécessaires au calcul de la contribution due au titre de l'imposition des revenus de l'année 202</w:t>
      </w:r>
      <w:r w:rsidR="003F0BB5">
        <w:t>6</w:t>
      </w:r>
      <w:r w:rsidRPr="00872B09">
        <w:t>.</w:t>
      </w:r>
      <w:r w:rsidRPr="00872B09">
        <w:br/>
      </w:r>
    </w:p>
    <w:p w14:paraId="39EAD75C" w14:textId="78C96E8C" w:rsidR="00555272" w:rsidRPr="00872B09" w:rsidRDefault="00555272" w:rsidP="002E5F2B">
      <w:pPr>
        <w:pStyle w:val="Paragraphe-CGPC"/>
      </w:pPr>
      <w:r w:rsidRPr="00872B09">
        <w:t>Le montant de la contribution due est établi par le contribuable en tenant compte :</w:t>
      </w:r>
    </w:p>
    <w:p w14:paraId="0154A77D" w14:textId="5A5B392A" w:rsidR="00555272" w:rsidRPr="00872B09" w:rsidRDefault="00555272" w:rsidP="002E5F2B">
      <w:pPr>
        <w:pStyle w:val="Paragraphe-CGPC"/>
      </w:pPr>
      <w:r w:rsidRPr="00872B09">
        <w:t>-  d'une part, des revenus qu'il a effectivement réalisés au 1er décembre 202</w:t>
      </w:r>
      <w:r w:rsidR="00847572">
        <w:t>6</w:t>
      </w:r>
      <w:r w:rsidRPr="00872B09">
        <w:t xml:space="preserve"> ;</w:t>
      </w:r>
    </w:p>
    <w:p w14:paraId="27AA0954" w14:textId="1A65C0B0" w:rsidR="00555272" w:rsidRPr="00872B09" w:rsidRDefault="00555272" w:rsidP="002E5F2B">
      <w:pPr>
        <w:pStyle w:val="Paragraphe-CGPC"/>
      </w:pPr>
      <w:r w:rsidRPr="00872B09">
        <w:t>- et, d'autre part, d'une estimation des revenus qu'il est susceptible de réaliser entre le 1er décembre 202</w:t>
      </w:r>
      <w:r w:rsidR="00847572">
        <w:t>6</w:t>
      </w:r>
      <w:r w:rsidRPr="00872B09">
        <w:t xml:space="preserve"> et le 31 décembre 202</w:t>
      </w:r>
      <w:r w:rsidR="00847572">
        <w:t>6</w:t>
      </w:r>
      <w:r w:rsidRPr="00872B09">
        <w:t>.</w:t>
      </w:r>
    </w:p>
    <w:p w14:paraId="1F9F9A68" w14:textId="517F1597" w:rsidR="005D609A" w:rsidRDefault="004C1F51" w:rsidP="002E5F2B">
      <w:pPr>
        <w:pStyle w:val="Paragraphe-CGPC"/>
        <w:rPr>
          <w:strike/>
        </w:rPr>
      </w:pPr>
      <w:r w:rsidRPr="00BF2476">
        <w:rPr>
          <w:strike/>
        </w:rPr>
        <w:t>Compte tenu de la complexité du calcul de cette CDHR et de l'absence de précisions quant aux modalités déclaratives des éléments servant de base au calcul de l'acompte, les commentaires administratifs sur les modalités pratiques de ce dispositif d'autoliquidation de l'acompte seront très attendues.</w:t>
      </w:r>
    </w:p>
    <w:p w14:paraId="28C6BB25" w14:textId="77777777" w:rsidR="00755A3C" w:rsidRDefault="00755A3C" w:rsidP="002E5F2B">
      <w:pPr>
        <w:pStyle w:val="Paragraphe-CGPC"/>
        <w:rPr>
          <w:strike/>
        </w:rPr>
      </w:pPr>
    </w:p>
    <w:p w14:paraId="337CAB1E" w14:textId="77777777" w:rsidR="006C5B14" w:rsidRDefault="006C5B14" w:rsidP="002E5F2B">
      <w:pPr>
        <w:pStyle w:val="Paragraphe-CGPC"/>
        <w:rPr>
          <w:strike/>
        </w:rPr>
      </w:pPr>
    </w:p>
    <w:p w14:paraId="50A8DFD5" w14:textId="77777777" w:rsidR="006C5B14" w:rsidRDefault="006C5B14" w:rsidP="002E5F2B">
      <w:pPr>
        <w:pStyle w:val="Paragraphe-CGPC"/>
        <w:rPr>
          <w:strike/>
        </w:rPr>
      </w:pPr>
    </w:p>
    <w:p w14:paraId="73938AE6" w14:textId="77777777" w:rsidR="006C5B14" w:rsidRDefault="006C5B14" w:rsidP="002E5F2B">
      <w:pPr>
        <w:pStyle w:val="Paragraphe-CGPC"/>
        <w:rPr>
          <w:strike/>
        </w:rPr>
      </w:pPr>
    </w:p>
    <w:p w14:paraId="17A5C24B" w14:textId="77777777" w:rsidR="006C5B14" w:rsidRDefault="006C5B14" w:rsidP="002E5F2B">
      <w:pPr>
        <w:pStyle w:val="Paragraphe-CGPC"/>
        <w:rPr>
          <w:strike/>
        </w:rPr>
      </w:pPr>
    </w:p>
    <w:p w14:paraId="70A21541" w14:textId="77777777" w:rsidR="006C5B14" w:rsidRDefault="006C5B14" w:rsidP="002E5F2B">
      <w:pPr>
        <w:pStyle w:val="Paragraphe-CGPC"/>
      </w:pPr>
    </w:p>
    <w:p w14:paraId="3571092B" w14:textId="77777777" w:rsidR="006C5B14" w:rsidRDefault="006C5B14" w:rsidP="002E5F2B">
      <w:pPr>
        <w:pStyle w:val="Paragraphe-CGPC"/>
      </w:pPr>
    </w:p>
    <w:p w14:paraId="0ECD80AB" w14:textId="5650373B" w:rsidR="006C5B14" w:rsidRPr="00BF2476" w:rsidRDefault="006C5B14" w:rsidP="00BF2476">
      <w:pPr>
        <w:numPr>
          <w:ilvl w:val="0"/>
          <w:numId w:val="2"/>
        </w:numPr>
        <w:pBdr>
          <w:top w:val="single" w:sz="2" w:space="0" w:color="E5E7EB"/>
          <w:left w:val="single" w:sz="2" w:space="0" w:color="E5E7EB"/>
          <w:bottom w:val="single" w:sz="2" w:space="0" w:color="E5E7EB"/>
          <w:right w:val="single" w:sz="2" w:space="0" w:color="E5E7EB"/>
        </w:pBdr>
        <w:shd w:val="clear" w:color="auto" w:fill="F4F4F4"/>
        <w:spacing w:before="100" w:beforeAutospacing="1" w:after="100" w:afterAutospacing="1" w:line="240" w:lineRule="auto"/>
        <w:ind w:left="0" w:firstLine="0"/>
        <w:jc w:val="left"/>
        <w:outlineLvl w:val="0"/>
        <w:rPr>
          <w:rFonts w:ascii="Poppins" w:eastAsia="Times New Roman" w:hAnsi="Poppins" w:cs="Poppins"/>
          <w:b/>
          <w:color w:val="7E1824"/>
          <w:kern w:val="36"/>
          <w:sz w:val="48"/>
          <w:szCs w:val="48"/>
          <w:lang w:eastAsia="fr-FR"/>
        </w:rPr>
      </w:pPr>
      <w:bookmarkStart w:id="115" w:name="_Toc233204967"/>
      <w:r w:rsidRPr="006C5B14">
        <w:rPr>
          <w:rFonts w:ascii="Poppins" w:eastAsia="Times New Roman" w:hAnsi="Poppins" w:cs="Poppins"/>
          <w:b/>
          <w:bCs/>
          <w:color w:val="7E1824"/>
          <w:kern w:val="36"/>
          <w:sz w:val="48"/>
          <w:szCs w:val="48"/>
          <w:lang w:eastAsia="fr-FR"/>
        </w:rPr>
        <w:t>taxe sur le patrimoine financier des holdings patrimoniales</w:t>
      </w:r>
      <w:bookmarkEnd w:id="115"/>
    </w:p>
    <w:p w14:paraId="0E353779" w14:textId="7DD92781" w:rsidR="00755A3C" w:rsidRDefault="00DD6D10" w:rsidP="002E5F2B">
      <w:pPr>
        <w:pStyle w:val="Paragraphe-CGPC"/>
      </w:pPr>
      <w:r w:rsidRPr="00BF2476">
        <w:t>L’article 7 de la loi de finances pour 2026 introduit, au nouvel article 235 ter C du Code général des impôts, une taxe annuelle de 20 % assise sur la valeur vénale de certains actifs non professionnels détenus par des holdings patrimoniales.</w:t>
      </w:r>
    </w:p>
    <w:p w14:paraId="71B0C269" w14:textId="77777777" w:rsidR="00B76853" w:rsidRDefault="00B76853" w:rsidP="007C0D1F">
      <w:pPr>
        <w:pStyle w:val="Paragraphe-CGPC"/>
      </w:pPr>
    </w:p>
    <w:p w14:paraId="6F496699" w14:textId="718AB78E" w:rsidR="007C0D1F" w:rsidRPr="007C0D1F" w:rsidRDefault="00B76853" w:rsidP="007C0D1F">
      <w:pPr>
        <w:pStyle w:val="Paragraphe-CGPC"/>
      </w:pPr>
      <w:r>
        <w:t>L</w:t>
      </w:r>
      <w:r w:rsidR="007C0D1F" w:rsidRPr="007C0D1F">
        <w:t xml:space="preserve">a taxe vise les </w:t>
      </w:r>
      <w:r w:rsidR="007C0D1F" w:rsidRPr="00BF2476">
        <w:rPr>
          <w:bCs w:val="0"/>
        </w:rPr>
        <w:t>holdings patrimoniales</w:t>
      </w:r>
      <w:r w:rsidR="007C0D1F" w:rsidRPr="007C0D1F">
        <w:t>, c’est-à-dire :</w:t>
      </w:r>
    </w:p>
    <w:p w14:paraId="6DF1FC4E" w14:textId="01B4C759" w:rsidR="007C0D1F" w:rsidRPr="007C0D1F" w:rsidRDefault="00425277" w:rsidP="007C0D1F">
      <w:pPr>
        <w:pStyle w:val="Paragraphe-CGPC"/>
        <w:numPr>
          <w:ilvl w:val="0"/>
          <w:numId w:val="45"/>
        </w:numPr>
      </w:pPr>
      <w:r>
        <w:t xml:space="preserve">Les sociétés </w:t>
      </w:r>
      <w:r w:rsidR="007C0D1F" w:rsidRPr="007C0D1F">
        <w:t>soumises à l’impôt sur les sociétés</w:t>
      </w:r>
    </w:p>
    <w:p w14:paraId="77693EEF" w14:textId="34006974" w:rsidR="007C0D1F" w:rsidRPr="007C0D1F" w:rsidRDefault="00902098" w:rsidP="007C0D1F">
      <w:pPr>
        <w:pStyle w:val="Paragraphe-CGPC"/>
        <w:numPr>
          <w:ilvl w:val="0"/>
          <w:numId w:val="45"/>
        </w:numPr>
      </w:pPr>
      <w:r w:rsidRPr="00BF2476">
        <w:t>Au moins une personne physique détient une fraction des droits de vote ou des droits financiers égale ou supérieure à 50 %</w:t>
      </w:r>
    </w:p>
    <w:p w14:paraId="74AEFAF2" w14:textId="6B8A15E9" w:rsidR="003A0352" w:rsidRDefault="007C0D1F" w:rsidP="002E5F2B">
      <w:pPr>
        <w:pStyle w:val="Paragraphe-CGPC"/>
        <w:numPr>
          <w:ilvl w:val="0"/>
          <w:numId w:val="45"/>
        </w:numPr>
      </w:pPr>
      <w:r w:rsidRPr="007C0D1F">
        <w:t>dont l’activité est principalement financière (revenus passifs</w:t>
      </w:r>
      <w:r w:rsidR="00ED55B6">
        <w:t>*</w:t>
      </w:r>
      <w:r w:rsidRPr="007C0D1F">
        <w:t xml:space="preserve"> </w:t>
      </w:r>
      <w:r w:rsidR="00D56D0B">
        <w:t>représentant</w:t>
      </w:r>
      <w:r w:rsidR="008B5B13">
        <w:t xml:space="preserve"> plus de 50% des produits d’exploitations</w:t>
      </w:r>
      <w:r w:rsidRPr="007C0D1F">
        <w:t xml:space="preserve">) </w:t>
      </w:r>
    </w:p>
    <w:p w14:paraId="2C68DB93" w14:textId="73045BCB" w:rsidR="003A0352" w:rsidRDefault="003A0352" w:rsidP="00BF2476">
      <w:pPr>
        <w:pStyle w:val="Paragraphe-CGPC"/>
        <w:numPr>
          <w:ilvl w:val="0"/>
          <w:numId w:val="45"/>
        </w:numPr>
      </w:pPr>
      <w:r>
        <w:t>L</w:t>
      </w:r>
      <w:r w:rsidRPr="00BF2476">
        <w:t>a valeur vénale de l'ensemble des actifs qu'elles détiennent est égale ou supérieure à 5 millions d'euros ;</w:t>
      </w:r>
    </w:p>
    <w:p w14:paraId="5532F572" w14:textId="4B919E0B" w:rsidR="007C0D1F" w:rsidRDefault="00552B93" w:rsidP="003A0352">
      <w:pPr>
        <w:pStyle w:val="Paragraphe-CGPC"/>
      </w:pPr>
      <w:r w:rsidRPr="00BF2476">
        <w:t xml:space="preserve">La taxe </w:t>
      </w:r>
      <w:r w:rsidR="00EA18C2" w:rsidRPr="00BF2476">
        <w:t xml:space="preserve">ne s’appliquera </w:t>
      </w:r>
      <w:r w:rsidRPr="00BF2476">
        <w:t>qu'aux actifs non liés à une activité professionnelle ("actifs non opérationnels"). La trésorerie ainsi que les objets d'art, de collection ou d'antiquité sont exclus de l'assiette de l'imposition. </w:t>
      </w:r>
    </w:p>
    <w:p w14:paraId="5691672C" w14:textId="77777777" w:rsidR="00BD2B6C" w:rsidRDefault="00BD2B6C" w:rsidP="002E5F2B">
      <w:pPr>
        <w:pStyle w:val="Paragraphe-CGPC"/>
      </w:pPr>
    </w:p>
    <w:p w14:paraId="67C2ECD9" w14:textId="3EEE9E9A" w:rsidR="00BD2B6C" w:rsidRPr="00BF2476" w:rsidRDefault="000D6D2E" w:rsidP="002E5F2B">
      <w:pPr>
        <w:pStyle w:val="Paragraphe-CGPC"/>
        <w:rPr>
          <w:i/>
          <w:iCs/>
          <w:sz w:val="28"/>
          <w:szCs w:val="28"/>
        </w:rPr>
      </w:pPr>
      <w:r>
        <w:t>*</w:t>
      </w:r>
      <w:r w:rsidR="00BD2B6C" w:rsidRPr="00BF2476">
        <w:rPr>
          <w:i/>
          <w:iCs/>
          <w:sz w:val="28"/>
          <w:szCs w:val="28"/>
        </w:rPr>
        <w:t>Les revenus passifs s'entendent :</w:t>
      </w:r>
    </w:p>
    <w:p w14:paraId="39A1ED05" w14:textId="77777777" w:rsidR="002F10D1" w:rsidRPr="00BF2476" w:rsidRDefault="00BD2B6C" w:rsidP="00BF2476">
      <w:pPr>
        <w:pStyle w:val="Paragraphe-CGPC"/>
        <w:numPr>
          <w:ilvl w:val="0"/>
          <w:numId w:val="46"/>
        </w:numPr>
        <w:spacing w:after="0" w:line="240" w:lineRule="auto"/>
        <w:ind w:left="805" w:hanging="357"/>
        <w:rPr>
          <w:i/>
          <w:iCs/>
          <w:sz w:val="28"/>
          <w:szCs w:val="28"/>
        </w:rPr>
      </w:pPr>
      <w:r w:rsidRPr="00BF2476">
        <w:rPr>
          <w:i/>
          <w:iCs/>
          <w:sz w:val="28"/>
          <w:szCs w:val="28"/>
        </w:rPr>
        <w:t>Des dividendes ;</w:t>
      </w:r>
    </w:p>
    <w:p w14:paraId="3B6BD9CB" w14:textId="77777777" w:rsidR="002F10D1" w:rsidRPr="00BF2476" w:rsidRDefault="00BD2B6C" w:rsidP="00BF2476">
      <w:pPr>
        <w:pStyle w:val="Paragraphe-CGPC"/>
        <w:numPr>
          <w:ilvl w:val="0"/>
          <w:numId w:val="46"/>
        </w:numPr>
        <w:spacing w:after="0" w:line="240" w:lineRule="auto"/>
        <w:ind w:left="805" w:hanging="357"/>
        <w:rPr>
          <w:i/>
          <w:iCs/>
          <w:sz w:val="28"/>
          <w:szCs w:val="28"/>
        </w:rPr>
      </w:pPr>
      <w:r w:rsidRPr="00BF2476">
        <w:rPr>
          <w:i/>
          <w:iCs/>
          <w:sz w:val="28"/>
          <w:szCs w:val="28"/>
        </w:rPr>
        <w:t>Des intérêts, des produits des obligations, des créances, des dépôts et des cautionnements ;</w:t>
      </w:r>
    </w:p>
    <w:p w14:paraId="0483BB88" w14:textId="77777777" w:rsidR="002F10D1" w:rsidRPr="00BF2476" w:rsidRDefault="00BD2B6C" w:rsidP="00BF2476">
      <w:pPr>
        <w:pStyle w:val="Paragraphe-CGPC"/>
        <w:numPr>
          <w:ilvl w:val="0"/>
          <w:numId w:val="46"/>
        </w:numPr>
        <w:spacing w:after="0" w:line="240" w:lineRule="auto"/>
        <w:ind w:left="805" w:hanging="357"/>
        <w:rPr>
          <w:i/>
          <w:iCs/>
          <w:sz w:val="28"/>
          <w:szCs w:val="28"/>
        </w:rPr>
      </w:pPr>
      <w:r w:rsidRPr="00BF2476">
        <w:rPr>
          <w:i/>
          <w:iCs/>
          <w:sz w:val="28"/>
          <w:szCs w:val="28"/>
        </w:rPr>
        <w:t xml:space="preserve">Des redevances de cession ou de concession de licences d'exploitation, de brevets d'invention, de marques de fabrique, de procédés ou de formules de fabrication et d'autres droits analogues </w:t>
      </w:r>
    </w:p>
    <w:p w14:paraId="19F34B46" w14:textId="77777777" w:rsidR="002F10D1" w:rsidRPr="00BF2476" w:rsidRDefault="00BD2B6C" w:rsidP="00BF2476">
      <w:pPr>
        <w:pStyle w:val="Paragraphe-CGPC"/>
        <w:numPr>
          <w:ilvl w:val="0"/>
          <w:numId w:val="46"/>
        </w:numPr>
        <w:spacing w:after="0" w:line="240" w:lineRule="auto"/>
        <w:ind w:left="805" w:hanging="357"/>
        <w:rPr>
          <w:i/>
          <w:iCs/>
          <w:sz w:val="28"/>
          <w:szCs w:val="28"/>
        </w:rPr>
      </w:pPr>
      <w:r w:rsidRPr="00BF2476">
        <w:rPr>
          <w:i/>
          <w:iCs/>
          <w:sz w:val="28"/>
          <w:szCs w:val="28"/>
        </w:rPr>
        <w:t>Des produits de droits d'auteurs ;</w:t>
      </w:r>
    </w:p>
    <w:p w14:paraId="52D27DFA" w14:textId="77777777" w:rsidR="002F10D1" w:rsidRPr="00BF2476" w:rsidRDefault="00BD2B6C" w:rsidP="00BF2476">
      <w:pPr>
        <w:pStyle w:val="Paragraphe-CGPC"/>
        <w:numPr>
          <w:ilvl w:val="0"/>
          <w:numId w:val="46"/>
        </w:numPr>
        <w:spacing w:after="0" w:line="240" w:lineRule="auto"/>
        <w:ind w:left="805" w:hanging="357"/>
        <w:rPr>
          <w:i/>
          <w:iCs/>
          <w:sz w:val="28"/>
          <w:szCs w:val="28"/>
        </w:rPr>
      </w:pPr>
      <w:r w:rsidRPr="00BF2476">
        <w:rPr>
          <w:i/>
          <w:iCs/>
          <w:sz w:val="28"/>
          <w:szCs w:val="28"/>
        </w:rPr>
        <w:t xml:space="preserve">Des loyers </w:t>
      </w:r>
    </w:p>
    <w:p w14:paraId="1BBBA2E4" w14:textId="4E7DFFFD" w:rsidR="000C7413" w:rsidRPr="00BF2476" w:rsidRDefault="00BD2B6C" w:rsidP="002F10D1">
      <w:pPr>
        <w:pStyle w:val="Paragraphe-CGPC"/>
        <w:numPr>
          <w:ilvl w:val="0"/>
          <w:numId w:val="46"/>
        </w:numPr>
        <w:spacing w:after="0" w:line="240" w:lineRule="auto"/>
        <w:ind w:left="805" w:hanging="357"/>
        <w:rPr>
          <w:i/>
          <w:iCs/>
          <w:sz w:val="28"/>
          <w:szCs w:val="28"/>
        </w:rPr>
      </w:pPr>
      <w:r w:rsidRPr="00BF2476">
        <w:rPr>
          <w:i/>
          <w:iCs/>
          <w:sz w:val="28"/>
          <w:szCs w:val="28"/>
        </w:rPr>
        <w:t>Des produits de cession d'un bien qui génère un revenu relevant d'une catégorie mentionnée aux 1° à 5° du présent 2 lorsqu'ils constituent des produits d'exploitation ou des produits financiers.</w:t>
      </w:r>
    </w:p>
    <w:p w14:paraId="4A06A0DD" w14:textId="77777777" w:rsidR="000D6D2E" w:rsidRDefault="000D6D2E" w:rsidP="000D6D2E">
      <w:pPr>
        <w:pStyle w:val="Paragraphe-CGPC"/>
        <w:spacing w:after="0" w:line="240" w:lineRule="auto"/>
        <w:ind w:left="805"/>
      </w:pPr>
    </w:p>
    <w:p w14:paraId="276EC63B" w14:textId="77777777" w:rsidR="000D6D2E" w:rsidRDefault="000D6D2E" w:rsidP="000D6D2E">
      <w:pPr>
        <w:pStyle w:val="Paragraphe-CGPC"/>
        <w:spacing w:after="0" w:line="240" w:lineRule="auto"/>
        <w:ind w:left="805"/>
      </w:pPr>
    </w:p>
    <w:p w14:paraId="55808435" w14:textId="77777777" w:rsidR="000D6D2E" w:rsidRDefault="000D6D2E" w:rsidP="000D6D2E">
      <w:pPr>
        <w:pStyle w:val="Paragraphe-CGPC"/>
        <w:spacing w:after="0" w:line="240" w:lineRule="auto"/>
        <w:ind w:left="805"/>
      </w:pPr>
    </w:p>
    <w:p w14:paraId="6EE6B1B9" w14:textId="720141FD" w:rsidR="00F01EA5" w:rsidRDefault="00353BB8" w:rsidP="00F01EA5">
      <w:pPr>
        <w:pStyle w:val="Paragraphe-CGPC"/>
        <w:spacing w:after="0"/>
      </w:pPr>
      <w:r w:rsidRPr="00353BB8">
        <w:lastRenderedPageBreak/>
        <w:t xml:space="preserve">La taxe </w:t>
      </w:r>
      <w:r w:rsidR="00A5373A">
        <w:t xml:space="preserve">de 20% </w:t>
      </w:r>
      <w:r w:rsidRPr="00353BB8">
        <w:t>est assise sur la somme de la valeur vénale des actifs suivants détenus par la société à la date de la clôture de l'exercice au titre duquel la taxe est due :</w:t>
      </w:r>
      <w:r w:rsidRPr="00353BB8">
        <w:br/>
      </w:r>
    </w:p>
    <w:p w14:paraId="430932E6" w14:textId="77777777" w:rsidR="00F01EA5" w:rsidRPr="00BF2476" w:rsidRDefault="00353BB8" w:rsidP="00F01EA5">
      <w:pPr>
        <w:pStyle w:val="Paragraphe-CGPC"/>
        <w:numPr>
          <w:ilvl w:val="0"/>
          <w:numId w:val="47"/>
        </w:numPr>
        <w:spacing w:after="0"/>
        <w:rPr>
          <w:rFonts w:ascii="Arial" w:hAnsi="Arial" w:cs="Arial"/>
          <w:bCs w:val="0"/>
          <w:color w:val="000000"/>
          <w:kern w:val="0"/>
          <w:sz w:val="21"/>
          <w:szCs w:val="21"/>
          <w:shd w:val="clear" w:color="auto" w:fill="FFFFFF"/>
          <w14:ligatures w14:val="none"/>
        </w:rPr>
      </w:pPr>
      <w:r w:rsidRPr="00353BB8">
        <w:t>Les biens affectés à l'exercice de la chasse ;</w:t>
      </w:r>
    </w:p>
    <w:p w14:paraId="76FF5506" w14:textId="77777777" w:rsidR="00F01EA5" w:rsidRPr="00BF2476" w:rsidRDefault="00353BB8" w:rsidP="00F01EA5">
      <w:pPr>
        <w:pStyle w:val="Paragraphe-CGPC"/>
        <w:numPr>
          <w:ilvl w:val="0"/>
          <w:numId w:val="47"/>
        </w:numPr>
        <w:spacing w:after="0"/>
        <w:rPr>
          <w:rFonts w:ascii="Arial" w:hAnsi="Arial" w:cs="Arial"/>
          <w:bCs w:val="0"/>
          <w:color w:val="000000"/>
          <w:kern w:val="0"/>
          <w:sz w:val="21"/>
          <w:szCs w:val="21"/>
          <w:shd w:val="clear" w:color="auto" w:fill="FFFFFF"/>
          <w14:ligatures w14:val="none"/>
        </w:rPr>
      </w:pPr>
      <w:r w:rsidRPr="00353BB8">
        <w:t>Les biens affectés à l'exercice de la pêche ;</w:t>
      </w:r>
    </w:p>
    <w:p w14:paraId="65F41DFC" w14:textId="77777777" w:rsidR="00426108" w:rsidRPr="00BF2476" w:rsidRDefault="00353BB8" w:rsidP="00F01EA5">
      <w:pPr>
        <w:pStyle w:val="Paragraphe-CGPC"/>
        <w:numPr>
          <w:ilvl w:val="0"/>
          <w:numId w:val="47"/>
        </w:numPr>
        <w:spacing w:after="0"/>
        <w:rPr>
          <w:rFonts w:ascii="Arial" w:hAnsi="Arial" w:cs="Arial"/>
          <w:bCs w:val="0"/>
          <w:color w:val="000000"/>
          <w:kern w:val="0"/>
          <w:sz w:val="21"/>
          <w:szCs w:val="21"/>
          <w:shd w:val="clear" w:color="auto" w:fill="FFFFFF"/>
          <w14:ligatures w14:val="none"/>
        </w:rPr>
      </w:pPr>
      <w:r w:rsidRPr="00353BB8">
        <w:t>Les véhicules qui ne sont pas affectés à une activité professionnelle, les véhicules de tourisme, les yachts, les bateaux de plaisance à voile ou à moteur et les aéronefs ;</w:t>
      </w:r>
    </w:p>
    <w:p w14:paraId="0CDE26B9" w14:textId="77777777" w:rsidR="00426108" w:rsidRPr="00BF2476" w:rsidRDefault="00353BB8" w:rsidP="00F01EA5">
      <w:pPr>
        <w:pStyle w:val="Paragraphe-CGPC"/>
        <w:numPr>
          <w:ilvl w:val="0"/>
          <w:numId w:val="47"/>
        </w:numPr>
        <w:spacing w:after="0"/>
        <w:rPr>
          <w:rFonts w:ascii="Arial" w:hAnsi="Arial" w:cs="Arial"/>
          <w:bCs w:val="0"/>
          <w:color w:val="000000"/>
          <w:kern w:val="0"/>
          <w:sz w:val="21"/>
          <w:szCs w:val="21"/>
          <w:shd w:val="clear" w:color="auto" w:fill="FFFFFF"/>
          <w14:ligatures w14:val="none"/>
        </w:rPr>
      </w:pPr>
      <w:r w:rsidRPr="00353BB8">
        <w:t>Les bijoux et les métaux précieux, à l'exclusion de ceux affectés à l'exploitation d'un musée ou d'un monument historique ou exposés dans un lieu accessible au public ou aux salariés de la société, à l'exception de leurs bureaux ;</w:t>
      </w:r>
    </w:p>
    <w:p w14:paraId="25267D95" w14:textId="77777777" w:rsidR="00426108" w:rsidRPr="00BF2476" w:rsidRDefault="00353BB8" w:rsidP="00F01EA5">
      <w:pPr>
        <w:pStyle w:val="Paragraphe-CGPC"/>
        <w:numPr>
          <w:ilvl w:val="0"/>
          <w:numId w:val="47"/>
        </w:numPr>
        <w:spacing w:after="0"/>
        <w:rPr>
          <w:rFonts w:ascii="Arial" w:hAnsi="Arial" w:cs="Arial"/>
          <w:bCs w:val="0"/>
          <w:color w:val="000000"/>
          <w:kern w:val="0"/>
          <w:sz w:val="21"/>
          <w:szCs w:val="21"/>
          <w:shd w:val="clear" w:color="auto" w:fill="FFFFFF"/>
          <w14:ligatures w14:val="none"/>
        </w:rPr>
      </w:pPr>
      <w:r w:rsidRPr="00353BB8">
        <w:t>Les chevaux de course ou de concours ;</w:t>
      </w:r>
    </w:p>
    <w:p w14:paraId="425C19B1" w14:textId="77777777" w:rsidR="00426108" w:rsidRPr="00BF2476" w:rsidRDefault="00353BB8" w:rsidP="00F01EA5">
      <w:pPr>
        <w:pStyle w:val="Paragraphe-CGPC"/>
        <w:numPr>
          <w:ilvl w:val="0"/>
          <w:numId w:val="47"/>
        </w:numPr>
        <w:spacing w:after="0"/>
        <w:rPr>
          <w:rFonts w:ascii="Arial" w:hAnsi="Arial" w:cs="Arial"/>
          <w:bCs w:val="0"/>
          <w:color w:val="000000"/>
          <w:kern w:val="0"/>
          <w:sz w:val="21"/>
          <w:szCs w:val="21"/>
          <w:shd w:val="clear" w:color="auto" w:fill="FFFFFF"/>
          <w14:ligatures w14:val="none"/>
        </w:rPr>
      </w:pPr>
      <w:r w:rsidRPr="00353BB8">
        <w:t>Les vins et les alcools ;</w:t>
      </w:r>
    </w:p>
    <w:p w14:paraId="2BD1FEBE" w14:textId="0AB7A5B0" w:rsidR="00A264E6" w:rsidRDefault="00353BB8" w:rsidP="00BF2476">
      <w:pPr>
        <w:pStyle w:val="Paragraphe-CGPC"/>
        <w:numPr>
          <w:ilvl w:val="0"/>
          <w:numId w:val="47"/>
        </w:numPr>
        <w:spacing w:after="0"/>
        <w:rPr>
          <w:rFonts w:ascii="Arial" w:hAnsi="Arial" w:cs="Arial"/>
          <w:bCs w:val="0"/>
          <w:color w:val="000000"/>
          <w:kern w:val="0"/>
          <w:sz w:val="21"/>
          <w:szCs w:val="21"/>
          <w:shd w:val="clear" w:color="auto" w:fill="FFFFFF"/>
          <w14:ligatures w14:val="none"/>
        </w:rPr>
      </w:pPr>
      <w:r w:rsidRPr="00353BB8">
        <w:t>Les logements dont la personne physique, se réserve la jouissance, soit :</w:t>
      </w:r>
      <w:r w:rsidR="00C20306" w:rsidRPr="00C20306">
        <w:rPr>
          <w:rFonts w:ascii="Arial" w:hAnsi="Arial" w:cs="Arial"/>
          <w:bCs w:val="0"/>
          <w:color w:val="000000"/>
          <w:kern w:val="0"/>
          <w:sz w:val="21"/>
          <w:szCs w:val="21"/>
          <w:shd w:val="clear" w:color="auto" w:fill="FFFFFF"/>
          <w14:ligatures w14:val="none"/>
        </w:rPr>
        <w:t xml:space="preserve"> </w:t>
      </w:r>
    </w:p>
    <w:p w14:paraId="203321B4" w14:textId="64BA15E2" w:rsidR="00353BB8" w:rsidRPr="00353BB8" w:rsidRDefault="00C20306" w:rsidP="00BF2476">
      <w:pPr>
        <w:pStyle w:val="Paragraphe-CGPC"/>
        <w:spacing w:after="0"/>
        <w:ind w:left="1416" w:firstLine="84"/>
      </w:pPr>
      <w:r w:rsidRPr="00C20306">
        <w:t>les logements occupés, à titre gratuit ou pour un loyer inférieur au prix du marché, à titre de résidence principale ou non ;</w:t>
      </w:r>
      <w:r w:rsidRPr="00C20306">
        <w:br/>
        <w:t>les logements loués fictivement.</w:t>
      </w:r>
    </w:p>
    <w:p w14:paraId="5F760491" w14:textId="77777777" w:rsidR="000D6D2E" w:rsidRDefault="000D6D2E" w:rsidP="000D6D2E">
      <w:pPr>
        <w:pStyle w:val="Paragraphe-CGPC"/>
        <w:spacing w:after="0" w:line="240" w:lineRule="auto"/>
        <w:ind w:left="805"/>
      </w:pPr>
    </w:p>
    <w:p w14:paraId="6D8B58C3" w14:textId="77777777" w:rsidR="000D6D2E" w:rsidRDefault="000D6D2E" w:rsidP="000D6D2E">
      <w:pPr>
        <w:pStyle w:val="Paragraphe-CGPC"/>
        <w:spacing w:after="0" w:line="240" w:lineRule="auto"/>
        <w:ind w:left="805"/>
      </w:pPr>
    </w:p>
    <w:p w14:paraId="7B3ED550" w14:textId="562FF49D" w:rsidR="000D6D2E" w:rsidRDefault="002521AD" w:rsidP="00BF2476">
      <w:pPr>
        <w:pStyle w:val="Paragraphe-CGPC"/>
        <w:spacing w:after="0" w:line="240" w:lineRule="auto"/>
      </w:pPr>
      <w:r w:rsidRPr="00BF2476">
        <w:t>La mesure s’applique aux exercices clos à compter du 31 décembre 2026. </w:t>
      </w:r>
    </w:p>
    <w:p w14:paraId="4920B994" w14:textId="77777777" w:rsidR="000D6D2E" w:rsidRPr="00DD6D10" w:rsidRDefault="000D6D2E" w:rsidP="00BF2476">
      <w:pPr>
        <w:pStyle w:val="Paragraphe-CGPC"/>
        <w:spacing w:after="0" w:line="240" w:lineRule="auto"/>
        <w:ind w:left="805"/>
      </w:pPr>
    </w:p>
    <w:p w14:paraId="136C1D6C" w14:textId="3EFA0599" w:rsidR="005D609A" w:rsidRDefault="005D609A" w:rsidP="002E5F2B">
      <w:pPr>
        <w:pStyle w:val="Paragraphe-CGPC"/>
      </w:pPr>
    </w:p>
    <w:p w14:paraId="1E4829FA" w14:textId="2BA55EC3" w:rsidR="004C1F51" w:rsidRPr="00872B09" w:rsidRDefault="0069413E" w:rsidP="002E5F2B">
      <w:pPr>
        <w:pStyle w:val="Paragraphe-CGPC"/>
      </w:pPr>
      <w:r>
        <w:rPr>
          <w:noProof/>
        </w:rPr>
        <mc:AlternateContent>
          <mc:Choice Requires="wps">
            <w:drawing>
              <wp:anchor distT="0" distB="0" distL="114300" distR="114300" simplePos="0" relativeHeight="251657214" behindDoc="1" locked="0" layoutInCell="1" allowOverlap="1" wp14:anchorId="02311BFC" wp14:editId="46E109BC">
                <wp:simplePos x="0" y="0"/>
                <wp:positionH relativeFrom="column">
                  <wp:posOffset>-914400</wp:posOffset>
                </wp:positionH>
                <wp:positionV relativeFrom="paragraph">
                  <wp:posOffset>-162560</wp:posOffset>
                </wp:positionV>
                <wp:extent cx="16143890" cy="8844455"/>
                <wp:effectExtent l="0" t="0" r="10795" b="13970"/>
                <wp:wrapNone/>
                <wp:docPr id="2144064412" name="Rectangle 7"/>
                <wp:cNvGraphicFramePr/>
                <a:graphic xmlns:a="http://schemas.openxmlformats.org/drawingml/2006/main">
                  <a:graphicData uri="http://schemas.microsoft.com/office/word/2010/wordprocessingShape">
                    <wps:wsp>
                      <wps:cNvSpPr/>
                      <wps:spPr>
                        <a:xfrm>
                          <a:off x="0" y="0"/>
                          <a:ext cx="16143890" cy="884445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F1A85F" id="Rectangle 7" o:spid="_x0000_s1026" style="position:absolute;margin-left:-1in;margin-top:-12.8pt;width:1271.15pt;height:696.4pt;z-index:-2516592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" fillcolor="#4472c4 [3204]" strokecolor="#09101d [484]" strokeweight="1pt"/>
            </w:pict>
          </mc:Fallback>
        </mc:AlternateContent>
      </w:r>
    </w:p>
    <w:p w14:paraId="1C1E6E3A" w14:textId="6EC5E9A7" w:rsidR="00A8744F" w:rsidRDefault="00A8744F" w:rsidP="002E5F2B">
      <w:pPr>
        <w:pStyle w:val="Paragraphe-CGPC"/>
      </w:pPr>
    </w:p>
    <w:p w14:paraId="20800A13" w14:textId="77777777" w:rsidR="005D609A" w:rsidRDefault="005D609A" w:rsidP="002E5F2B">
      <w:pPr>
        <w:pStyle w:val="Paragraphe-CGPC"/>
      </w:pPr>
    </w:p>
    <w:p w14:paraId="4241DC17" w14:textId="77777777" w:rsidR="005D609A" w:rsidRDefault="005D609A" w:rsidP="002E5F2B">
      <w:pPr>
        <w:pStyle w:val="Paragraphe-CGPC"/>
      </w:pPr>
    </w:p>
    <w:p w14:paraId="41145D51" w14:textId="77777777" w:rsidR="005D609A" w:rsidRDefault="005D609A" w:rsidP="002E5F2B">
      <w:pPr>
        <w:pStyle w:val="Paragraphe-CGPC"/>
      </w:pPr>
    </w:p>
    <w:p w14:paraId="48568110" w14:textId="77777777" w:rsidR="005D609A" w:rsidRDefault="005D609A" w:rsidP="002E5F2B">
      <w:pPr>
        <w:pStyle w:val="Paragraphe-CGPC"/>
      </w:pPr>
    </w:p>
    <w:p w14:paraId="12D28346" w14:textId="77777777" w:rsidR="005D609A" w:rsidRDefault="005D609A" w:rsidP="002E5F2B">
      <w:pPr>
        <w:pStyle w:val="Paragraphe-CGPC"/>
      </w:pPr>
    </w:p>
    <w:p w14:paraId="1075E715" w14:textId="77777777" w:rsidR="005D609A" w:rsidRDefault="005D609A" w:rsidP="002E5F2B">
      <w:pPr>
        <w:pStyle w:val="Paragraphe-CGPC"/>
      </w:pPr>
    </w:p>
    <w:p w14:paraId="68D1FA2E" w14:textId="5539C3E2" w:rsidR="005D609A" w:rsidRPr="00E0501E" w:rsidRDefault="00CB575E" w:rsidP="00E0501E">
      <w:pPr>
        <w:pStyle w:val="Titre1"/>
      </w:pPr>
      <w:bookmarkStart w:id="116" w:name="_Toc202191593"/>
      <w:bookmarkStart w:id="117" w:name="_Toc207183051"/>
      <w:bookmarkStart w:id="118" w:name="_Toc233204968"/>
      <w:r w:rsidRPr="00E0501E">
        <w:t xml:space="preserve">Le </w:t>
      </w:r>
      <w:proofErr w:type="spellStart"/>
      <w:r w:rsidRPr="00E0501E">
        <w:t>contentieux</w:t>
      </w:r>
      <w:r w:rsidR="00581E30">
        <w:t>Le</w:t>
      </w:r>
      <w:proofErr w:type="spellEnd"/>
      <w:r w:rsidR="00581E30">
        <w:t xml:space="preserve"> contentieux fiscal </w:t>
      </w:r>
      <w:r w:rsidRPr="00E0501E">
        <w:t xml:space="preserve"> </w:t>
      </w:r>
      <w:proofErr w:type="spellStart"/>
      <w:r w:rsidRPr="00E0501E">
        <w:t>fiscal</w:t>
      </w:r>
      <w:bookmarkEnd w:id="116"/>
      <w:bookmarkEnd w:id="117"/>
      <w:bookmarkEnd w:id="118"/>
      <w:proofErr w:type="spellEnd"/>
    </w:p>
    <w:p w14:paraId="126EE295" w14:textId="77777777" w:rsidR="005D609A" w:rsidRDefault="005D609A" w:rsidP="002E5F2B">
      <w:pPr>
        <w:pStyle w:val="Paragraphe-CGPC"/>
        <w:rPr>
          <w:rFonts w:eastAsiaTheme="majorEastAsia"/>
          <w:color w:val="3A5D9C"/>
          <w:sz w:val="44"/>
          <w:szCs w:val="26"/>
          <w:bdr w:val="none" w:sz="0" w:space="0" w:color="auto" w:frame="1"/>
        </w:rPr>
      </w:pPr>
      <w:r>
        <w:br w:type="page"/>
      </w:r>
    </w:p>
    <w:p w14:paraId="5A77A18F" w14:textId="77777777" w:rsidR="00CB575E" w:rsidRPr="009201C0" w:rsidRDefault="00CB575E" w:rsidP="002E5F2B">
      <w:pPr>
        <w:pStyle w:val="Paragraphe-CGPC"/>
      </w:pPr>
      <w:r w:rsidRPr="009201C0">
        <w:lastRenderedPageBreak/>
        <w:t>Le contrôle des déclarations peut être effectué de deux manières :</w:t>
      </w:r>
    </w:p>
    <w:p w14:paraId="3A7DC58A" w14:textId="77777777" w:rsidR="00CB575E" w:rsidRPr="009201C0" w:rsidRDefault="00CB575E" w:rsidP="002E5F2B">
      <w:pPr>
        <w:pStyle w:val="Paragraphe-CGPC"/>
      </w:pPr>
      <w:r w:rsidRPr="009201C0">
        <w:t>soit en procédant à un examen des déclarations à l’aide de renseignements et de documents qui figurent dans ses dossiers (contrôle sur pièces). Cet examen n’est pas forcément connu du contribuable. Des justifications sur les revenus déclarés peuvent être demandées au contribuable ou à des tiers dans le cadre du droit de communication,</w:t>
      </w:r>
    </w:p>
    <w:p w14:paraId="061009C4" w14:textId="77777777" w:rsidR="00CB575E" w:rsidRPr="009201C0" w:rsidRDefault="00CB575E" w:rsidP="002E5F2B">
      <w:pPr>
        <w:pStyle w:val="Paragraphe-CGPC"/>
      </w:pPr>
      <w:r w:rsidRPr="009201C0">
        <w:t>soit par un examen contradictoire de la situation fiscale des personnes physiques lorsqu’elle porte sur l’exactitude du revenu global servant de base à l’impôt sur le revenu.</w:t>
      </w:r>
    </w:p>
    <w:p w14:paraId="30535462" w14:textId="77777777" w:rsidR="00CB575E" w:rsidRPr="009201C0" w:rsidRDefault="00CB575E" w:rsidP="002E5F2B">
      <w:pPr>
        <w:pStyle w:val="Paragraphe-CGPC"/>
      </w:pPr>
      <w:r w:rsidRPr="009201C0">
        <w:t> </w:t>
      </w:r>
    </w:p>
    <w:p w14:paraId="2BB7A74E" w14:textId="77777777" w:rsidR="00CB575E" w:rsidRPr="009201C0" w:rsidRDefault="00CB575E" w:rsidP="002E5F2B">
      <w:pPr>
        <w:pStyle w:val="Paragraphe-CGPC"/>
      </w:pPr>
      <w:r w:rsidRPr="009201C0">
        <w:t>Le droit de communication est le droit reconnu à l’administration des impôts de prendre connaissance et, au besoin, copie de documents détenus par des tiers (entreprises privées, administrations, établissements et organismes divers …). Ce droit s’exerce quel que soit le support utilisé pour la conservation des documents, y compris lorsqu’il est magnétique.</w:t>
      </w:r>
    </w:p>
    <w:p w14:paraId="3F9A1914" w14:textId="77777777" w:rsidR="00CB575E" w:rsidRPr="009201C0" w:rsidRDefault="00CB575E" w:rsidP="002E5F2B">
      <w:pPr>
        <w:pStyle w:val="Paragraphe-CGPC"/>
      </w:pPr>
      <w:r w:rsidRPr="009201C0">
        <w:t>Les renseignements recueillis peuvent être utilisés pour l’assiette et le contrôle de tous impôts et taxes à la charge, soit de la personne physique ou morale auprès de laquelle ce droit est exercé, soit de tiers à cette personne, sans qu’il en découle toutefois directement l’établissement d’impositions supplémentaires.</w:t>
      </w:r>
    </w:p>
    <w:p w14:paraId="15C0E185" w14:textId="77777777" w:rsidR="00CB575E" w:rsidRPr="009201C0" w:rsidRDefault="00CB575E" w:rsidP="002E5F2B">
      <w:pPr>
        <w:pStyle w:val="Paragraphe-CGPC"/>
      </w:pPr>
      <w:r w:rsidRPr="009201C0">
        <w:t>Le droit de communication peut également être exercé par les agents des administrations chargés du recouvrement non seulement des impôts, droits et taxes prévus par le CGI, mais également de celui des amendes et condamnations pécuniaires qui ne sont pas de nature fiscale.</w:t>
      </w:r>
    </w:p>
    <w:p w14:paraId="23986936" w14:textId="77777777" w:rsidR="00CB575E" w:rsidRPr="009201C0" w:rsidRDefault="00CB575E" w:rsidP="002E5F2B">
      <w:pPr>
        <w:pStyle w:val="Paragraphe-CGPC"/>
      </w:pPr>
      <w:r w:rsidRPr="009201C0">
        <w:t>Le droit de communication permet à l’administration de recueillir des informations détenues par certaines personnes ou certains organismes afin d’effectuer le contrôle des déclarations des contribuables (LPF art. L 81). Ces personnes ou organismes doivent, en exécution d’une obligation légale, fournir spontanément au service des impôts des informations qu’elles détiennent (notamment l’IFU.)</w:t>
      </w:r>
    </w:p>
    <w:p w14:paraId="2908F172" w14:textId="77777777" w:rsidR="00CB575E" w:rsidRPr="009201C0" w:rsidRDefault="00CB575E" w:rsidP="002E5F2B">
      <w:pPr>
        <w:pStyle w:val="Paragraphe-CGPC"/>
      </w:pPr>
      <w:r w:rsidRPr="009201C0">
        <w:t>Parallèlement, l’administration a le droit de recueillir auprès de personnes limitativement énumérées par la loi (LPF art. L 82 A à L 96 J), des renseignements et documents qu’elle utilise pour opérer les recoupements nécessaires au contrôle des énonciations des déclarations d’autres contribuables.</w:t>
      </w:r>
    </w:p>
    <w:p w14:paraId="57235810" w14:textId="77777777" w:rsidR="00CB575E" w:rsidRPr="009201C0" w:rsidRDefault="00CB575E" w:rsidP="002E5F2B">
      <w:pPr>
        <w:pStyle w:val="Paragraphe-CGPC"/>
      </w:pPr>
      <w:r w:rsidRPr="009201C0">
        <w:t>L’administration peut notamment exercer son droit de communication auprès des banques, des compagnies d’assurances, des institutions et organismes qui paient des salaires, honoraires ou rémunérations quelconques, encaissent, gèrent ou distribuent des fonds pour le compte de leurs adhérents, des fonds communs de placement, des sociétés civiles, etc. Elle peut également faire des demandes d’informations relatives à des personnes non identifiées dans les conditions fixées par l’article R 81-3 du LPF.</w:t>
      </w:r>
    </w:p>
    <w:p w14:paraId="01F639C1" w14:textId="77777777" w:rsidR="00CB575E" w:rsidRPr="009201C0" w:rsidRDefault="00CB575E" w:rsidP="002E5F2B">
      <w:pPr>
        <w:pStyle w:val="Paragraphe-CGPC"/>
      </w:pPr>
      <w:r w:rsidRPr="009201C0">
        <w:lastRenderedPageBreak/>
        <w:t>L’administration peut adresser des demandes de renseignements à des personnes non soumises au droit de communication mais celles-ci ne sont pas légalement tenues d’y répondre. Ces demandes ne doivent pas être susceptibles d’induire la personne questionnée en erreur sur son droit de s’abstenir de répondre.</w:t>
      </w:r>
    </w:p>
    <w:p w14:paraId="5E124FB8" w14:textId="77777777" w:rsidR="00CB575E" w:rsidRPr="009201C0" w:rsidRDefault="00CB575E" w:rsidP="002E5F2B">
      <w:pPr>
        <w:pStyle w:val="Paragraphe-CGPC"/>
      </w:pPr>
      <w:r w:rsidRPr="009201C0">
        <w:t>La procédure de rectification est une action par laquelle, pour une période ou une opération donnée, le service ajoute ou supplée aux éléments qui ont été ou auraient dû être déclarés par un contribuable, lorsqu’elle tend à obtenir une majoration immédiate ou différée de l’impôt exigible.</w:t>
      </w:r>
    </w:p>
    <w:p w14:paraId="7F891EEF" w14:textId="77777777" w:rsidR="00CB575E" w:rsidRPr="009201C0" w:rsidRDefault="00CB575E" w:rsidP="002E5F2B">
      <w:pPr>
        <w:pStyle w:val="Paragraphe-CGPC"/>
      </w:pPr>
      <w:r w:rsidRPr="009201C0">
        <w:t>Les éléments sur lesquels le service peut faire porter son action, au sens de la formule précitée, comprennent non seulement tous ceux que le contribuable doit déclarer à l’administration en vertu d’une disposition légale ou réglementaire, mais encore ceux que le service peut prendre d’office en considération (par ex. : substitution, en matière d’enregistrement, de la valeur vénale à celle déclarée).</w:t>
      </w:r>
    </w:p>
    <w:p w14:paraId="4A74A68B" w14:textId="77777777" w:rsidR="00CB575E" w:rsidRPr="009201C0" w:rsidRDefault="00CB575E" w:rsidP="002E5F2B">
      <w:pPr>
        <w:pStyle w:val="Paragraphe-CGPC"/>
      </w:pPr>
      <w:r w:rsidRPr="009201C0">
        <w:t>Ces éléments sont donc nombreux et variés. Ils peuvent se rapporter soit à l’assiette de l’impôt, soit seulement aux modalités de sa liquidation (par ex. : nombre d’enfants à considérer à charge en matière d’impôt sur le revenu), soit encore au montant de l’impôt précédemment acquitté et admis en déduction de la cotisation présentement exigible (déductions en matière de TVA, imputations d’impôt précédemment versé au Trésor …). Mais les modifications de tous ordres ainsi apportées aux éléments déclarés (ou qui auraient dû être déclarés) par le contribuable doivent, pour être qualifiées de redressement, tendre à la mise en recouvrement d’un impôt majoré par rapport à la somme qui résulterait de la seule application des droits légalement prévus aux éléments spontanément déclarés par ce contribuable.</w:t>
      </w:r>
    </w:p>
    <w:p w14:paraId="7825F5BD" w14:textId="77777777" w:rsidR="00CB575E" w:rsidRPr="009201C0" w:rsidRDefault="00CB575E" w:rsidP="002E5F2B">
      <w:pPr>
        <w:pStyle w:val="Paragraphe-CGPC"/>
      </w:pPr>
      <w:r w:rsidRPr="009201C0">
        <w:t>En contrepartie, l’administration peut également prononcer le dégrèvement d’impositions non justifiées. Le pouvoir de rectification procède du droit général de reprise que détient l’administration à l’égard des droits omis. Il s’exerce dans le cadre de procédures appropriées.</w:t>
      </w:r>
    </w:p>
    <w:p w14:paraId="63514C4B" w14:textId="77777777" w:rsidR="00CB575E" w:rsidRPr="009201C0" w:rsidRDefault="00CB575E" w:rsidP="002E5F2B">
      <w:pPr>
        <w:pStyle w:val="Paragraphe-CGPC"/>
      </w:pPr>
      <w:r w:rsidRPr="009201C0">
        <w:t>Le droit de reprise est le droit accordé à l’administration de réparer les omissions totales ou partielles constatées dans l’assiette ou le recouvrement de tous impôts, taxes ou redevances dus en vertu des lois fiscales, ainsi que les erreurs susceptibles d’entacher leur détermination.</w:t>
      </w:r>
    </w:p>
    <w:p w14:paraId="40E8C42B" w14:textId="77777777" w:rsidR="00CB575E" w:rsidRPr="009201C0" w:rsidRDefault="00CB575E" w:rsidP="002E5F2B">
      <w:pPr>
        <w:pStyle w:val="Paragraphe-CGPC"/>
      </w:pPr>
      <w:r w:rsidRPr="009201C0">
        <w:t>Le droit de reprise permet de réparer non seulement toutes les insuffisances commises par les contribuables, mais encore les erreurs préjudiciables au Trésor, imputables aux services chargés de la liquidation de l’impôt.</w:t>
      </w:r>
    </w:p>
    <w:p w14:paraId="3CBA872E" w14:textId="77777777" w:rsidR="00CB575E" w:rsidRPr="009201C0" w:rsidRDefault="00CB575E" w:rsidP="002E5F2B">
      <w:pPr>
        <w:pStyle w:val="Paragraphe-CGPC"/>
      </w:pPr>
      <w:r w:rsidRPr="009201C0">
        <w:t>Le droit qui appartient à l’administration de réparer les omissions, insuffisances ou erreurs commises dans l’établissement de l’impôt ne peut être exercé que pendant un certain délai, appelé délai de reprise ou de prescription, à l’expiration duquel la prescription est acquise à l’encontre du Trésor et au profit du contribuable (LPF art. L 169 s.). Pour être valables, les impositions doivent être mises en recouvrement avant l’expiration du délai de reprise.</w:t>
      </w:r>
    </w:p>
    <w:p w14:paraId="5AE0B638" w14:textId="5EFCDD58" w:rsidR="00CB575E" w:rsidRPr="009201C0" w:rsidRDefault="00CB575E" w:rsidP="002E5F2B">
      <w:pPr>
        <w:pStyle w:val="Paragraphe-CGPC"/>
      </w:pPr>
      <w:r w:rsidRPr="009201C0">
        <w:lastRenderedPageBreak/>
        <w:t>En matière d’impôt sur le revenu, le délai de reprise de l’administration expire, en principe, à la fin de la troisième année suivant celle au titre de laquelle l’imposition est due. Ainsi, l’administration peut rectifier jusqu’au 31 décembre 202</w:t>
      </w:r>
      <w:r w:rsidR="00E00C67" w:rsidRPr="009201C0">
        <w:t>4</w:t>
      </w:r>
      <w:r w:rsidRPr="009201C0">
        <w:t xml:space="preserve"> les revenus de l’année 202</w:t>
      </w:r>
      <w:r w:rsidR="00E00C67" w:rsidRPr="009201C0">
        <w:t>1</w:t>
      </w:r>
      <w:r w:rsidRPr="009201C0">
        <w:t xml:space="preserve"> (déclarés en 202</w:t>
      </w:r>
      <w:r w:rsidR="00E00C67" w:rsidRPr="009201C0">
        <w:t>2</w:t>
      </w:r>
      <w:r w:rsidRPr="009201C0">
        <w:t>). C’est la date de mise en recouvrement du rôle qui est prise en considération.</w:t>
      </w:r>
    </w:p>
    <w:p w14:paraId="79BB5942" w14:textId="77777777" w:rsidR="00CB575E" w:rsidRPr="009201C0" w:rsidRDefault="00CB575E" w:rsidP="002E5F2B">
      <w:pPr>
        <w:pStyle w:val="Paragraphe-CGPC"/>
      </w:pPr>
      <w:r w:rsidRPr="009201C0">
        <w:t>Ce délai peut toutefois se trouver étendu par l’effet de délais spéciaux qui se superposent au délai général. Il en est notamment ainsi en cas d’erreur sur la nature de l’impôt ou sur le lieu d’imposition ou en cas d’omissions ou d’insuffisances révélées par une instance devant les tribunaux, par une réclamation contentieuse ou à l’occasion de la succession d’un contribuable.</w:t>
      </w:r>
    </w:p>
    <w:p w14:paraId="235C2DCB" w14:textId="77777777" w:rsidR="00CB575E" w:rsidRPr="009201C0" w:rsidRDefault="00CB575E" w:rsidP="002E5F2B">
      <w:pPr>
        <w:pStyle w:val="Paragraphe-CGPC"/>
      </w:pPr>
      <w:r w:rsidRPr="009201C0">
        <w:t>Par exception, le droit de reprise s’exerce jusqu’à la fin de la dixième année suivant celle au titre de laquelle l’imposition est due notamment en cas d’activité occulte, lorsque l’administration a dressé un procès-verbal de flagrance fiscale au titre d’une année postérieure ou lorsque les obligations déclaratives concernant les comptes ou les contrats d’assurance-vie détenus ou souscrits à l’étranger, ou encore les trusts, n’ont pas été respectées (et, dans ce dernier cas, pour les seuls revenus ou bénéfices afférents aux obligations déclaratives non respectées).</w:t>
      </w:r>
    </w:p>
    <w:p w14:paraId="22557F1E" w14:textId="77777777" w:rsidR="00CB575E" w:rsidRPr="009201C0" w:rsidRDefault="00CB575E" w:rsidP="002E5F2B">
      <w:pPr>
        <w:pStyle w:val="Paragraphe-CGPC"/>
      </w:pPr>
      <w:r w:rsidRPr="009201C0">
        <w:t>Enfin, les délais initiaux de reprise peuvent être prorogés ;</w:t>
      </w:r>
    </w:p>
    <w:p w14:paraId="44FA687B" w14:textId="77777777" w:rsidR="00CB575E" w:rsidRPr="009201C0" w:rsidRDefault="00CB575E" w:rsidP="002E5F2B">
      <w:pPr>
        <w:pStyle w:val="Paragraphe-CGPC"/>
      </w:pPr>
      <w:r w:rsidRPr="009201C0">
        <w:t>D’une part, lorsque la découverte d’agissements frauduleux entraîne le dépôt d’une plainte en vue de l’application d’une sanction pénale (prolongation de deux ans) ;</w:t>
      </w:r>
    </w:p>
    <w:p w14:paraId="55871491" w14:textId="77777777" w:rsidR="00CB575E" w:rsidRPr="009201C0" w:rsidRDefault="00CB575E" w:rsidP="002E5F2B">
      <w:pPr>
        <w:pStyle w:val="Paragraphe-CGPC"/>
      </w:pPr>
      <w:r w:rsidRPr="009201C0">
        <w:t>D’autre part, lorsque l’administration a, dans le délai initial de reprise, déposé une plainte ayant abouti à l’ouverture d’une enquête judiciaire pour fraude fiscale (prolongation jusqu’à la fin de l’année qui suit la décision qui met fin à la procédure et, au plus tard, jusqu’à la fin de la dixième année qui suit celle au titre de laquelle l’imposition est due) ;</w:t>
      </w:r>
    </w:p>
    <w:p w14:paraId="3A2CEF5E" w14:textId="77777777" w:rsidR="00CB575E" w:rsidRPr="009201C0" w:rsidRDefault="00CB575E" w:rsidP="002E5F2B">
      <w:pPr>
        <w:pStyle w:val="Paragraphe-CGPC"/>
      </w:pPr>
      <w:r w:rsidRPr="009201C0">
        <w:t>Et enfin, lorsque l’administration a, dans un délai initial de reprise, demandé des renseignements à une autorité étrangère (prolongation jusqu’à la fin de l’année qui suit celle de la réponse de l’autorité étrangère et, au plus tard, jusqu’à la fin de la troisième année qui suit celle au titre de laquelle le délai initial est expiré).</w:t>
      </w:r>
    </w:p>
    <w:p w14:paraId="68E7CA2E" w14:textId="6804937D" w:rsidR="00CB575E" w:rsidRPr="009201C0" w:rsidRDefault="00CB575E" w:rsidP="002E5F2B">
      <w:pPr>
        <w:pStyle w:val="Paragraphe-CGPC"/>
      </w:pPr>
    </w:p>
    <w:p w14:paraId="1F44292B" w14:textId="77777777" w:rsidR="00CB575E" w:rsidRPr="009201C0" w:rsidRDefault="00CB575E" w:rsidP="002E5F2B">
      <w:pPr>
        <w:pStyle w:val="Paragraphe-CGPC"/>
      </w:pPr>
      <w:r w:rsidRPr="009201C0">
        <w:t>Le droit de visite et de saisie concerne la recherche des infractions aux impôts directs et à la taxe sur la valeur ajoutée.</w:t>
      </w:r>
    </w:p>
    <w:p w14:paraId="14EC2406" w14:textId="77777777" w:rsidR="00CB575E" w:rsidRPr="009201C0" w:rsidRDefault="00CB575E" w:rsidP="002E5F2B">
      <w:pPr>
        <w:pStyle w:val="Paragraphe-CGPC"/>
      </w:pPr>
      <w:r w:rsidRPr="009201C0">
        <w:t>Il s’exerce lorsque le contribuable se soustrait à l’établissement ou au paiement des impôts sur le revenu ou sur les bénéfices, ou de la taxe sur la valeur ajoutée :</w:t>
      </w:r>
    </w:p>
    <w:p w14:paraId="422EC602" w14:textId="77777777" w:rsidR="00CB575E" w:rsidRPr="009201C0" w:rsidRDefault="00CB575E" w:rsidP="002E5F2B">
      <w:pPr>
        <w:pStyle w:val="Paragraphe-CGPC"/>
      </w:pPr>
      <w:r w:rsidRPr="009201C0">
        <w:t>En se livrant à des achats ou à des ventes sans facture ;</w:t>
      </w:r>
    </w:p>
    <w:p w14:paraId="176F0DAD" w14:textId="77777777" w:rsidR="00CB575E" w:rsidRPr="009201C0" w:rsidRDefault="00CB575E" w:rsidP="002E5F2B">
      <w:pPr>
        <w:pStyle w:val="Paragraphe-CGPC"/>
      </w:pPr>
      <w:r w:rsidRPr="009201C0">
        <w:lastRenderedPageBreak/>
        <w:t>En utilisant ou en délivrant des factures ou des documents ne se rapportant pas à des opérations réelles ;</w:t>
      </w:r>
    </w:p>
    <w:p w14:paraId="1A6C5C40" w14:textId="77777777" w:rsidR="00CB575E" w:rsidRPr="009201C0" w:rsidRDefault="00CB575E" w:rsidP="002E5F2B">
      <w:pPr>
        <w:pStyle w:val="Paragraphe-CGPC"/>
      </w:pPr>
      <w:r w:rsidRPr="009201C0">
        <w:t>En omettant sciemment de passer ou de faire passer des écritures, ou en passant ou faisant passer sciemment des écritures inexactes ou fictives dans des documents comptables dont la tenue est prescrite par le code général des impôts (CGI).</w:t>
      </w:r>
    </w:p>
    <w:p w14:paraId="4A1BB1C8" w14:textId="77777777" w:rsidR="00CB575E" w:rsidRPr="009201C0" w:rsidRDefault="00CB575E" w:rsidP="002E5F2B">
      <w:pPr>
        <w:pStyle w:val="Paragraphe-CGPC"/>
      </w:pPr>
      <w:r w:rsidRPr="009201C0">
        <w:t>L’ordonnance de visite est délivrée par le juge des libertés et de la détention (JLD) du tribunal de grande instance (TGI) après vérification de sa part. Elle doit comporter, notamment l’adresse des lieux à visiter et le nom et la qualité du fonctionnaire habilité qui a sollicité et obtenu l’autorisation de procéder aux opérations de visite. La visite et la saisie de documents s’effectuent sous l’autorité et le contrôle du juge qui les a autorisées.</w:t>
      </w:r>
    </w:p>
    <w:p w14:paraId="238017C8" w14:textId="77777777" w:rsidR="00CB575E" w:rsidRPr="009201C0" w:rsidRDefault="00CB575E" w:rsidP="002E5F2B">
      <w:pPr>
        <w:pStyle w:val="Paragraphe-CGPC"/>
      </w:pPr>
      <w:r w:rsidRPr="009201C0">
        <w:t>Les informations recueillies dans le cadre de cette procédure ne sont opposables par l’administration fiscale au contribuable qu’après la restitution des pièces et documents saisis ou leur reproduction et la mise en œuvre des procédures de contrôle.</w:t>
      </w:r>
    </w:p>
    <w:p w14:paraId="5DD4A932" w14:textId="5FEEF3B6" w:rsidR="00690A37" w:rsidRDefault="00CB575E" w:rsidP="002E5F2B">
      <w:pPr>
        <w:pStyle w:val="Paragraphe-CGPC"/>
      </w:pPr>
      <w:r w:rsidRPr="009201C0">
        <w:t>Ce droit de visite et de saisie ne s’applique pas à la recherche des infractions en matière de droits d’enregistrement et de timbre, d’impôt de solidarité sur la fortune, d’impôts directs locaux et de taxe sur le chiffre d’affaires autres que la TVA.</w:t>
      </w:r>
    </w:p>
    <w:p w14:paraId="2A25FA01" w14:textId="62CA0903" w:rsidR="00617A4A" w:rsidRDefault="00617A4A" w:rsidP="002E5F2B">
      <w:pPr>
        <w:pStyle w:val="Paragraphe-CGPC"/>
      </w:pPr>
    </w:p>
    <w:p w14:paraId="0E535A57" w14:textId="77777777" w:rsidR="00E6628B" w:rsidRDefault="00E6628B" w:rsidP="002E5F2B">
      <w:pPr>
        <w:pStyle w:val="Paragraphe-CGPC"/>
      </w:pPr>
    </w:p>
    <w:p w14:paraId="0F030A98" w14:textId="77777777" w:rsidR="00E6628B" w:rsidRDefault="00E6628B" w:rsidP="002E5F2B">
      <w:pPr>
        <w:pStyle w:val="Paragraphe-CGPC"/>
      </w:pPr>
    </w:p>
    <w:p w14:paraId="370C96CF" w14:textId="77777777" w:rsidR="00E6628B" w:rsidRDefault="00E6628B" w:rsidP="002E5F2B">
      <w:pPr>
        <w:pStyle w:val="Paragraphe-CGPC"/>
      </w:pPr>
    </w:p>
    <w:p w14:paraId="56753148" w14:textId="77777777" w:rsidR="00E6628B" w:rsidRDefault="00E6628B" w:rsidP="002E5F2B">
      <w:pPr>
        <w:pStyle w:val="Paragraphe-CGPC"/>
      </w:pPr>
    </w:p>
    <w:p w14:paraId="3BCABF7C" w14:textId="77777777" w:rsidR="00E6628B" w:rsidRDefault="00E6628B" w:rsidP="002E5F2B">
      <w:pPr>
        <w:pStyle w:val="Paragraphe-CGPC"/>
      </w:pPr>
    </w:p>
    <w:p w14:paraId="04D61AE4" w14:textId="77777777" w:rsidR="00E6628B" w:rsidRDefault="00E6628B" w:rsidP="002E5F2B">
      <w:pPr>
        <w:pStyle w:val="Paragraphe-CGPC"/>
      </w:pPr>
    </w:p>
    <w:p w14:paraId="192A02B9" w14:textId="77777777" w:rsidR="00E6628B" w:rsidRPr="00A8744F" w:rsidRDefault="00E6628B" w:rsidP="002E5F2B">
      <w:pPr>
        <w:pStyle w:val="Paragraphe-CGPC"/>
      </w:pPr>
    </w:p>
    <w:sectPr w:rsidR="00E6628B" w:rsidRPr="00A8744F" w:rsidSect="000B52FC">
      <w:headerReference w:type="default" r:id="rId24"/>
      <w:footerReference w:type="default" r:id="rId25"/>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5ED17" w14:textId="77777777" w:rsidR="009B197C" w:rsidRPr="009201C0" w:rsidRDefault="009B197C" w:rsidP="002020F9">
      <w:pPr>
        <w:spacing w:after="0" w:line="240" w:lineRule="auto"/>
      </w:pPr>
      <w:r w:rsidRPr="009201C0">
        <w:separator/>
      </w:r>
    </w:p>
  </w:endnote>
  <w:endnote w:type="continuationSeparator" w:id="0">
    <w:p w14:paraId="6DC65A09" w14:textId="77777777" w:rsidR="009B197C" w:rsidRPr="009201C0" w:rsidRDefault="009B197C" w:rsidP="002020F9">
      <w:pPr>
        <w:spacing w:after="0" w:line="240" w:lineRule="auto"/>
      </w:pPr>
      <w:r w:rsidRPr="009201C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embedRegular r:id="rId1" w:fontKey="{C137F061-50FC-47F9-879A-6F676849AB0A}"/>
    <w:embedBold r:id="rId2" w:fontKey="{F2058AD9-9003-4F37-A6C1-28AAC60023C7}"/>
    <w:embedItalic r:id="rId3" w:fontKey="{56248D52-6CE2-4039-96DC-69FCEBE1154E}"/>
    <w:embedBoldItalic r:id="rId4" w:fontKey="{16FF4C01-F387-45F1-9BF3-F4500562DFFF}"/>
  </w:font>
  <w:font w:name="Calibri">
    <w:panose1 w:val="020F0502020204030204"/>
    <w:charset w:val="00"/>
    <w:family w:val="swiss"/>
    <w:pitch w:val="variable"/>
    <w:sig w:usb0="E4002EFF" w:usb1="C200247B" w:usb2="00000009" w:usb3="00000000" w:csb0="000001FF" w:csb1="00000000"/>
    <w:embedRegular r:id="rId5" w:fontKey="{C9050324-D67A-4869-A581-0AB5410833CB}"/>
    <w:embedBold r:id="rId6" w:fontKey="{FC678964-5E2F-46E9-A0DA-B09DB01240B7}"/>
    <w:embedItalic r:id="rId7" w:fontKey="{0F65EE0C-723B-414E-A49F-0D4B8F2849DE}"/>
    <w:embedBoldItalic r:id="rId8" w:fontKey="{795536D8-BC42-41D7-957F-1B3113280CA9}"/>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6D1E2505-DD28-4649-A391-77480E7719B4}"/>
  </w:font>
  <w:font w:name="Poppins">
    <w:charset w:val="00"/>
    <w:family w:val="auto"/>
    <w:pitch w:val="variable"/>
    <w:sig w:usb0="00008007" w:usb1="00000000" w:usb2="00000000" w:usb3="00000000" w:csb0="00000093" w:csb1="00000000"/>
    <w:embedRegular r:id="rId10" w:fontKey="{F5106810-E374-473D-AD5D-04F81B5D2C1F}"/>
    <w:embedBold r:id="rId11" w:fontKey="{081047AE-933D-4220-943C-6131D9A322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151610"/>
      <w:docPartObj>
        <w:docPartGallery w:val="Page Numbers (Bottom of Page)"/>
        <w:docPartUnique/>
      </w:docPartObj>
    </w:sdtPr>
    <w:sdtContent>
      <w:p w14:paraId="5661778E" w14:textId="07BB2CC1" w:rsidR="006D32DC" w:rsidRDefault="006D32DC">
        <w:pPr>
          <w:pStyle w:val="Pieddepage"/>
        </w:pPr>
        <w:r>
          <w:fldChar w:fldCharType="begin"/>
        </w:r>
        <w:r>
          <w:instrText>PAGE   \* MERGEFORMAT</w:instrText>
        </w:r>
        <w:r>
          <w:fldChar w:fldCharType="separate"/>
        </w:r>
        <w:r>
          <w:t>2</w:t>
        </w:r>
        <w:r>
          <w:fldChar w:fldCharType="end"/>
        </w:r>
        <w:r>
          <w:t xml:space="preserve"> </w:t>
        </w:r>
        <w:r w:rsidRPr="00FC5DB0">
          <w:rPr>
            <w:sz w:val="22"/>
          </w:rPr>
          <w:t>Copyright© CGPC Développement®</w:t>
        </w:r>
      </w:p>
    </w:sdtContent>
  </w:sdt>
  <w:p w14:paraId="3E57FEB1" w14:textId="77777777" w:rsidR="006D32DC" w:rsidRDefault="006D32D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BE17E4" w14:textId="77777777" w:rsidR="009B197C" w:rsidRPr="009201C0" w:rsidRDefault="009B197C" w:rsidP="002020F9">
      <w:pPr>
        <w:spacing w:after="0" w:line="240" w:lineRule="auto"/>
      </w:pPr>
      <w:r w:rsidRPr="009201C0">
        <w:separator/>
      </w:r>
    </w:p>
  </w:footnote>
  <w:footnote w:type="continuationSeparator" w:id="0">
    <w:p w14:paraId="7CAC0DAD" w14:textId="77777777" w:rsidR="009B197C" w:rsidRPr="009201C0" w:rsidRDefault="009B197C" w:rsidP="002020F9">
      <w:pPr>
        <w:spacing w:after="0" w:line="240" w:lineRule="auto"/>
      </w:pPr>
      <w:r w:rsidRPr="009201C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40E7F" w14:textId="79343EF3" w:rsidR="009C7B74" w:rsidRDefault="007A2502">
    <w:pPr>
      <w:pStyle w:val="En-tte"/>
    </w:pPr>
    <w:r>
      <w:rPr>
        <w:noProof/>
      </w:rPr>
      <mc:AlternateContent>
        <mc:Choice Requires="wps">
          <w:drawing>
            <wp:anchor distT="0" distB="0" distL="118745" distR="118745" simplePos="0" relativeHeight="251659264" behindDoc="1" locked="0" layoutInCell="1" allowOverlap="0" wp14:anchorId="645FF905" wp14:editId="50E121B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330940B2" w14:textId="585572E5" w:rsidR="007A2502" w:rsidRDefault="00240241">
                              <w:pPr>
                                <w:pStyle w:val="En-tte"/>
                                <w:jc w:val="center"/>
                                <w:rPr>
                                  <w:caps/>
                                  <w:color w:val="FFFFFF" w:themeColor="background1"/>
                                </w:rPr>
                              </w:pPr>
                              <w:r>
                                <w:rPr>
                                  <w:caps/>
                                  <w:color w:val="FFFFFF" w:themeColor="background1"/>
                                </w:rPr>
                                <w:t>Chapitre 1 : L’impôt sur le revenu</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645FF905"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330940B2" w14:textId="585572E5" w:rsidR="007A2502" w:rsidRDefault="00240241">
                        <w:pPr>
                          <w:pStyle w:val="En-tte"/>
                          <w:jc w:val="center"/>
                          <w:rPr>
                            <w:caps/>
                            <w:color w:val="FFFFFF" w:themeColor="background1"/>
                          </w:rPr>
                        </w:pPr>
                        <w:r>
                          <w:rPr>
                            <w:caps/>
                            <w:color w:val="FFFFFF" w:themeColor="background1"/>
                          </w:rPr>
                          <w:t>Chapitre 1 : L’impôt sur le revenu</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17627"/>
    <w:multiLevelType w:val="multilevel"/>
    <w:tmpl w:val="204A0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FE41E1"/>
    <w:multiLevelType w:val="hybridMultilevel"/>
    <w:tmpl w:val="7222217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 w15:restartNumberingAfterBreak="0">
    <w:nsid w:val="159C25AD"/>
    <w:multiLevelType w:val="hybridMultilevel"/>
    <w:tmpl w:val="17160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B83EED"/>
    <w:multiLevelType w:val="hybridMultilevel"/>
    <w:tmpl w:val="87CAC3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DDE72E9"/>
    <w:multiLevelType w:val="hybridMultilevel"/>
    <w:tmpl w:val="4148E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3B28CB"/>
    <w:multiLevelType w:val="multilevel"/>
    <w:tmpl w:val="582E4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1D06C9A"/>
    <w:multiLevelType w:val="multilevel"/>
    <w:tmpl w:val="314EC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0B27A6"/>
    <w:multiLevelType w:val="hybridMultilevel"/>
    <w:tmpl w:val="34343270"/>
    <w:lvl w:ilvl="0" w:tplc="61461AC6">
      <w:start w:val="1"/>
      <w:numFmt w:val="decimal"/>
      <w:pStyle w:val="Titre2"/>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24754EBD"/>
    <w:multiLevelType w:val="multilevel"/>
    <w:tmpl w:val="B846C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A871EC"/>
    <w:multiLevelType w:val="hybridMultilevel"/>
    <w:tmpl w:val="31C81BD0"/>
    <w:lvl w:ilvl="0" w:tplc="7AC0A8F0">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8A46CB"/>
    <w:multiLevelType w:val="hybridMultilevel"/>
    <w:tmpl w:val="7CA4FED2"/>
    <w:lvl w:ilvl="0" w:tplc="040C0001">
      <w:start w:val="1"/>
      <w:numFmt w:val="bullet"/>
      <w:lvlText w:val=""/>
      <w:lvlJc w:val="left"/>
      <w:pPr>
        <w:ind w:left="810" w:hanging="360"/>
      </w:pPr>
      <w:rPr>
        <w:rFonts w:ascii="Symbol" w:hAnsi="Symbol" w:hint="default"/>
      </w:rPr>
    </w:lvl>
    <w:lvl w:ilvl="1" w:tplc="040C0003" w:tentative="1">
      <w:start w:val="1"/>
      <w:numFmt w:val="bullet"/>
      <w:lvlText w:val="o"/>
      <w:lvlJc w:val="left"/>
      <w:pPr>
        <w:ind w:left="1530" w:hanging="360"/>
      </w:pPr>
      <w:rPr>
        <w:rFonts w:ascii="Courier New" w:hAnsi="Courier New" w:cs="Courier New" w:hint="default"/>
      </w:rPr>
    </w:lvl>
    <w:lvl w:ilvl="2" w:tplc="040C0005" w:tentative="1">
      <w:start w:val="1"/>
      <w:numFmt w:val="bullet"/>
      <w:lvlText w:val=""/>
      <w:lvlJc w:val="left"/>
      <w:pPr>
        <w:ind w:left="2250" w:hanging="360"/>
      </w:pPr>
      <w:rPr>
        <w:rFonts w:ascii="Wingdings" w:hAnsi="Wingdings" w:hint="default"/>
      </w:rPr>
    </w:lvl>
    <w:lvl w:ilvl="3" w:tplc="040C0001" w:tentative="1">
      <w:start w:val="1"/>
      <w:numFmt w:val="bullet"/>
      <w:lvlText w:val=""/>
      <w:lvlJc w:val="left"/>
      <w:pPr>
        <w:ind w:left="2970" w:hanging="360"/>
      </w:pPr>
      <w:rPr>
        <w:rFonts w:ascii="Symbol" w:hAnsi="Symbol" w:hint="default"/>
      </w:rPr>
    </w:lvl>
    <w:lvl w:ilvl="4" w:tplc="040C0003" w:tentative="1">
      <w:start w:val="1"/>
      <w:numFmt w:val="bullet"/>
      <w:lvlText w:val="o"/>
      <w:lvlJc w:val="left"/>
      <w:pPr>
        <w:ind w:left="3690" w:hanging="360"/>
      </w:pPr>
      <w:rPr>
        <w:rFonts w:ascii="Courier New" w:hAnsi="Courier New" w:cs="Courier New" w:hint="default"/>
      </w:rPr>
    </w:lvl>
    <w:lvl w:ilvl="5" w:tplc="040C0005" w:tentative="1">
      <w:start w:val="1"/>
      <w:numFmt w:val="bullet"/>
      <w:lvlText w:val=""/>
      <w:lvlJc w:val="left"/>
      <w:pPr>
        <w:ind w:left="4410" w:hanging="360"/>
      </w:pPr>
      <w:rPr>
        <w:rFonts w:ascii="Wingdings" w:hAnsi="Wingdings" w:hint="default"/>
      </w:rPr>
    </w:lvl>
    <w:lvl w:ilvl="6" w:tplc="040C0001" w:tentative="1">
      <w:start w:val="1"/>
      <w:numFmt w:val="bullet"/>
      <w:lvlText w:val=""/>
      <w:lvlJc w:val="left"/>
      <w:pPr>
        <w:ind w:left="5130" w:hanging="360"/>
      </w:pPr>
      <w:rPr>
        <w:rFonts w:ascii="Symbol" w:hAnsi="Symbol" w:hint="default"/>
      </w:rPr>
    </w:lvl>
    <w:lvl w:ilvl="7" w:tplc="040C0003" w:tentative="1">
      <w:start w:val="1"/>
      <w:numFmt w:val="bullet"/>
      <w:lvlText w:val="o"/>
      <w:lvlJc w:val="left"/>
      <w:pPr>
        <w:ind w:left="5850" w:hanging="360"/>
      </w:pPr>
      <w:rPr>
        <w:rFonts w:ascii="Courier New" w:hAnsi="Courier New" w:cs="Courier New" w:hint="default"/>
      </w:rPr>
    </w:lvl>
    <w:lvl w:ilvl="8" w:tplc="040C0005" w:tentative="1">
      <w:start w:val="1"/>
      <w:numFmt w:val="bullet"/>
      <w:lvlText w:val=""/>
      <w:lvlJc w:val="left"/>
      <w:pPr>
        <w:ind w:left="6570" w:hanging="360"/>
      </w:pPr>
      <w:rPr>
        <w:rFonts w:ascii="Wingdings" w:hAnsi="Wingdings" w:hint="default"/>
      </w:rPr>
    </w:lvl>
  </w:abstractNum>
  <w:abstractNum w:abstractNumId="11" w15:restartNumberingAfterBreak="0">
    <w:nsid w:val="2E8738CC"/>
    <w:multiLevelType w:val="multilevel"/>
    <w:tmpl w:val="557CE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4462522"/>
    <w:multiLevelType w:val="multilevel"/>
    <w:tmpl w:val="9CC83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E1207DF"/>
    <w:multiLevelType w:val="hybridMultilevel"/>
    <w:tmpl w:val="D18A2A1C"/>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4" w15:restartNumberingAfterBreak="0">
    <w:nsid w:val="3E7B24B8"/>
    <w:multiLevelType w:val="hybridMultilevel"/>
    <w:tmpl w:val="6C521B04"/>
    <w:lvl w:ilvl="0" w:tplc="E2403D5A">
      <w:start w:val="1"/>
      <w:numFmt w:val="low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5" w15:restartNumberingAfterBreak="0">
    <w:nsid w:val="45300772"/>
    <w:multiLevelType w:val="multilevel"/>
    <w:tmpl w:val="B5062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8860584"/>
    <w:multiLevelType w:val="multilevel"/>
    <w:tmpl w:val="864C7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5E85FC8"/>
    <w:multiLevelType w:val="hybridMultilevel"/>
    <w:tmpl w:val="D2348E26"/>
    <w:lvl w:ilvl="0" w:tplc="9E22F41E">
      <w:start w:val="45"/>
      <w:numFmt w:val="bullet"/>
      <w:lvlText w:val="-"/>
      <w:lvlJc w:val="left"/>
      <w:pPr>
        <w:ind w:left="720" w:hanging="360"/>
      </w:pPr>
      <w:rPr>
        <w:rFonts w:ascii="Open Sans" w:eastAsiaTheme="minorHAnsi" w:hAnsi="Open Sans" w:cs="Open San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6106870"/>
    <w:multiLevelType w:val="hybridMultilevel"/>
    <w:tmpl w:val="A6B4D1B4"/>
    <w:lvl w:ilvl="0" w:tplc="5E3ECFEA">
      <w:start w:val="1"/>
      <w:numFmt w:val="lowerRoman"/>
      <w:pStyle w:val="Titre5"/>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57D26515"/>
    <w:multiLevelType w:val="multilevel"/>
    <w:tmpl w:val="2A2C5EA4"/>
    <w:lvl w:ilvl="0">
      <w:start w:val="1"/>
      <w:numFmt w:val="bullet"/>
      <w:lvlText w:val=""/>
      <w:lvlJc w:val="left"/>
      <w:pPr>
        <w:tabs>
          <w:tab w:val="num" w:pos="720"/>
        </w:tabs>
        <w:ind w:left="720" w:hanging="360"/>
      </w:pPr>
      <w:rPr>
        <w:rFonts w:ascii="Symbol" w:hAnsi="Symbol" w:hint="default"/>
        <w:strike w:val="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A4D7B99"/>
    <w:multiLevelType w:val="hybridMultilevel"/>
    <w:tmpl w:val="FA8C6B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D152BC9"/>
    <w:multiLevelType w:val="hybridMultilevel"/>
    <w:tmpl w:val="C2CE0E4C"/>
    <w:lvl w:ilvl="0" w:tplc="3B74509C">
      <w:start w:val="50"/>
      <w:numFmt w:val="bullet"/>
      <w:lvlText w:val="-"/>
      <w:lvlJc w:val="left"/>
      <w:pPr>
        <w:ind w:left="720" w:hanging="360"/>
      </w:pPr>
      <w:rPr>
        <w:rFonts w:ascii="Open Sans" w:eastAsiaTheme="minorHAnsi" w:hAnsi="Open Sans" w:cs="Open San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3550A9C"/>
    <w:multiLevelType w:val="hybridMultilevel"/>
    <w:tmpl w:val="7708D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642A93"/>
    <w:multiLevelType w:val="multilevel"/>
    <w:tmpl w:val="175C6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3A01F23"/>
    <w:multiLevelType w:val="hybridMultilevel"/>
    <w:tmpl w:val="A800B7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D7C52F3"/>
    <w:multiLevelType w:val="hybridMultilevel"/>
    <w:tmpl w:val="C1F426EE"/>
    <w:lvl w:ilvl="0" w:tplc="C630A21C">
      <w:start w:val="1"/>
      <w:numFmt w:val="upperLetter"/>
      <w:pStyle w:val="Titre3"/>
      <w:lvlText w:val="%1."/>
      <w:lvlJc w:val="left"/>
      <w:pPr>
        <w:ind w:left="1742" w:hanging="360"/>
      </w:pPr>
    </w:lvl>
    <w:lvl w:ilvl="1" w:tplc="04090019" w:tentative="1">
      <w:start w:val="1"/>
      <w:numFmt w:val="lowerLetter"/>
      <w:lvlText w:val="%2."/>
      <w:lvlJc w:val="left"/>
      <w:pPr>
        <w:ind w:left="2462" w:hanging="360"/>
      </w:pPr>
    </w:lvl>
    <w:lvl w:ilvl="2" w:tplc="0409001B" w:tentative="1">
      <w:start w:val="1"/>
      <w:numFmt w:val="lowerRoman"/>
      <w:lvlText w:val="%3."/>
      <w:lvlJc w:val="right"/>
      <w:pPr>
        <w:ind w:left="3182" w:hanging="180"/>
      </w:pPr>
    </w:lvl>
    <w:lvl w:ilvl="3" w:tplc="0409000F" w:tentative="1">
      <w:start w:val="1"/>
      <w:numFmt w:val="decimal"/>
      <w:lvlText w:val="%4."/>
      <w:lvlJc w:val="left"/>
      <w:pPr>
        <w:ind w:left="3902" w:hanging="360"/>
      </w:pPr>
    </w:lvl>
    <w:lvl w:ilvl="4" w:tplc="04090019" w:tentative="1">
      <w:start w:val="1"/>
      <w:numFmt w:val="lowerLetter"/>
      <w:lvlText w:val="%5."/>
      <w:lvlJc w:val="left"/>
      <w:pPr>
        <w:ind w:left="4622" w:hanging="360"/>
      </w:pPr>
    </w:lvl>
    <w:lvl w:ilvl="5" w:tplc="0409001B" w:tentative="1">
      <w:start w:val="1"/>
      <w:numFmt w:val="lowerRoman"/>
      <w:lvlText w:val="%6."/>
      <w:lvlJc w:val="right"/>
      <w:pPr>
        <w:ind w:left="5342" w:hanging="180"/>
      </w:pPr>
    </w:lvl>
    <w:lvl w:ilvl="6" w:tplc="0409000F" w:tentative="1">
      <w:start w:val="1"/>
      <w:numFmt w:val="decimal"/>
      <w:lvlText w:val="%7."/>
      <w:lvlJc w:val="left"/>
      <w:pPr>
        <w:ind w:left="6062" w:hanging="360"/>
      </w:pPr>
    </w:lvl>
    <w:lvl w:ilvl="7" w:tplc="04090019" w:tentative="1">
      <w:start w:val="1"/>
      <w:numFmt w:val="lowerLetter"/>
      <w:lvlText w:val="%8."/>
      <w:lvlJc w:val="left"/>
      <w:pPr>
        <w:ind w:left="6782" w:hanging="360"/>
      </w:pPr>
    </w:lvl>
    <w:lvl w:ilvl="8" w:tplc="0409001B" w:tentative="1">
      <w:start w:val="1"/>
      <w:numFmt w:val="lowerRoman"/>
      <w:lvlText w:val="%9."/>
      <w:lvlJc w:val="right"/>
      <w:pPr>
        <w:ind w:left="7502" w:hanging="180"/>
      </w:pPr>
    </w:lvl>
  </w:abstractNum>
  <w:abstractNum w:abstractNumId="26" w15:restartNumberingAfterBreak="0">
    <w:nsid w:val="7DD1046F"/>
    <w:multiLevelType w:val="multilevel"/>
    <w:tmpl w:val="AC8E2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27118286">
    <w:abstractNumId w:val="14"/>
  </w:num>
  <w:num w:numId="2" w16cid:durableId="1906524701">
    <w:abstractNumId w:val="9"/>
  </w:num>
  <w:num w:numId="3" w16cid:durableId="1387417723">
    <w:abstractNumId w:val="15"/>
  </w:num>
  <w:num w:numId="4" w16cid:durableId="1316447297">
    <w:abstractNumId w:val="16"/>
  </w:num>
  <w:num w:numId="5" w16cid:durableId="1647975306">
    <w:abstractNumId w:val="23"/>
  </w:num>
  <w:num w:numId="6" w16cid:durableId="1828399781">
    <w:abstractNumId w:val="6"/>
  </w:num>
  <w:num w:numId="7" w16cid:durableId="398943649">
    <w:abstractNumId w:val="11"/>
  </w:num>
  <w:num w:numId="8" w16cid:durableId="543324467">
    <w:abstractNumId w:val="0"/>
  </w:num>
  <w:num w:numId="9" w16cid:durableId="1139763501">
    <w:abstractNumId w:val="26"/>
  </w:num>
  <w:num w:numId="10" w16cid:durableId="1548490229">
    <w:abstractNumId w:val="5"/>
  </w:num>
  <w:num w:numId="11" w16cid:durableId="371228501">
    <w:abstractNumId w:val="7"/>
  </w:num>
  <w:num w:numId="12" w16cid:durableId="569847713">
    <w:abstractNumId w:val="7"/>
    <w:lvlOverride w:ilvl="0">
      <w:startOverride w:val="1"/>
    </w:lvlOverride>
  </w:num>
  <w:num w:numId="13" w16cid:durableId="468399610">
    <w:abstractNumId w:val="25"/>
  </w:num>
  <w:num w:numId="14" w16cid:durableId="1369793647">
    <w:abstractNumId w:val="25"/>
    <w:lvlOverride w:ilvl="0">
      <w:startOverride w:val="1"/>
    </w:lvlOverride>
  </w:num>
  <w:num w:numId="15" w16cid:durableId="1119881816">
    <w:abstractNumId w:val="25"/>
    <w:lvlOverride w:ilvl="0">
      <w:startOverride w:val="1"/>
    </w:lvlOverride>
  </w:num>
  <w:num w:numId="16" w16cid:durableId="883174802">
    <w:abstractNumId w:val="14"/>
    <w:lvlOverride w:ilvl="0">
      <w:startOverride w:val="1"/>
    </w:lvlOverride>
  </w:num>
  <w:num w:numId="17" w16cid:durableId="810291708">
    <w:abstractNumId w:val="14"/>
    <w:lvlOverride w:ilvl="0">
      <w:startOverride w:val="1"/>
    </w:lvlOverride>
  </w:num>
  <w:num w:numId="18" w16cid:durableId="85078875">
    <w:abstractNumId w:val="18"/>
  </w:num>
  <w:num w:numId="19" w16cid:durableId="1137913104">
    <w:abstractNumId w:val="25"/>
    <w:lvlOverride w:ilvl="0">
      <w:startOverride w:val="1"/>
    </w:lvlOverride>
  </w:num>
  <w:num w:numId="20" w16cid:durableId="465784835">
    <w:abstractNumId w:val="14"/>
    <w:lvlOverride w:ilvl="0">
      <w:startOverride w:val="1"/>
    </w:lvlOverride>
  </w:num>
  <w:num w:numId="21" w16cid:durableId="1340548696">
    <w:abstractNumId w:val="25"/>
    <w:lvlOverride w:ilvl="0">
      <w:startOverride w:val="1"/>
    </w:lvlOverride>
  </w:num>
  <w:num w:numId="22" w16cid:durableId="1557349584">
    <w:abstractNumId w:val="21"/>
  </w:num>
  <w:num w:numId="23" w16cid:durableId="1909218812">
    <w:abstractNumId w:val="19"/>
  </w:num>
  <w:num w:numId="24" w16cid:durableId="1896744601">
    <w:abstractNumId w:val="17"/>
  </w:num>
  <w:num w:numId="25" w16cid:durableId="1501963807">
    <w:abstractNumId w:val="7"/>
    <w:lvlOverride w:ilvl="0">
      <w:startOverride w:val="1"/>
    </w:lvlOverride>
  </w:num>
  <w:num w:numId="26" w16cid:durableId="965935265">
    <w:abstractNumId w:val="9"/>
    <w:lvlOverride w:ilvl="0">
      <w:startOverride w:val="1"/>
    </w:lvlOverride>
  </w:num>
  <w:num w:numId="27" w16cid:durableId="196477585">
    <w:abstractNumId w:val="2"/>
  </w:num>
  <w:num w:numId="28" w16cid:durableId="1807115179">
    <w:abstractNumId w:val="22"/>
  </w:num>
  <w:num w:numId="29" w16cid:durableId="427851358">
    <w:abstractNumId w:val="4"/>
  </w:num>
  <w:num w:numId="30" w16cid:durableId="367267156">
    <w:abstractNumId w:val="7"/>
    <w:lvlOverride w:ilvl="0">
      <w:startOverride w:val="1"/>
    </w:lvlOverride>
  </w:num>
  <w:num w:numId="31" w16cid:durableId="1230386375">
    <w:abstractNumId w:val="7"/>
    <w:lvlOverride w:ilvl="0">
      <w:startOverride w:val="1"/>
    </w:lvlOverride>
  </w:num>
  <w:num w:numId="32" w16cid:durableId="874344513">
    <w:abstractNumId w:val="7"/>
    <w:lvlOverride w:ilvl="0">
      <w:startOverride w:val="1"/>
    </w:lvlOverride>
  </w:num>
  <w:num w:numId="33" w16cid:durableId="1838380205">
    <w:abstractNumId w:val="14"/>
    <w:lvlOverride w:ilvl="0">
      <w:startOverride w:val="1"/>
    </w:lvlOverride>
  </w:num>
  <w:num w:numId="34" w16cid:durableId="1330524086">
    <w:abstractNumId w:val="25"/>
    <w:lvlOverride w:ilvl="0">
      <w:startOverride w:val="1"/>
    </w:lvlOverride>
  </w:num>
  <w:num w:numId="35" w16cid:durableId="1440645083">
    <w:abstractNumId w:val="25"/>
    <w:lvlOverride w:ilvl="0">
      <w:startOverride w:val="1"/>
    </w:lvlOverride>
  </w:num>
  <w:num w:numId="36" w16cid:durableId="809983395">
    <w:abstractNumId w:val="25"/>
    <w:lvlOverride w:ilvl="0">
      <w:startOverride w:val="1"/>
    </w:lvlOverride>
  </w:num>
  <w:num w:numId="37" w16cid:durableId="383062753">
    <w:abstractNumId w:val="7"/>
    <w:lvlOverride w:ilvl="0">
      <w:startOverride w:val="1"/>
    </w:lvlOverride>
  </w:num>
  <w:num w:numId="38" w16cid:durableId="499124140">
    <w:abstractNumId w:val="7"/>
    <w:lvlOverride w:ilvl="0">
      <w:startOverride w:val="1"/>
    </w:lvlOverride>
  </w:num>
  <w:num w:numId="39" w16cid:durableId="820193559">
    <w:abstractNumId w:val="7"/>
    <w:lvlOverride w:ilvl="0">
      <w:startOverride w:val="1"/>
    </w:lvlOverride>
  </w:num>
  <w:num w:numId="40" w16cid:durableId="249311764">
    <w:abstractNumId w:val="20"/>
  </w:num>
  <w:num w:numId="41" w16cid:durableId="340746711">
    <w:abstractNumId w:val="13"/>
  </w:num>
  <w:num w:numId="42" w16cid:durableId="1557279847">
    <w:abstractNumId w:val="1"/>
  </w:num>
  <w:num w:numId="43" w16cid:durableId="1635942197">
    <w:abstractNumId w:val="24"/>
  </w:num>
  <w:num w:numId="44" w16cid:durableId="1415205553">
    <w:abstractNumId w:val="12"/>
  </w:num>
  <w:num w:numId="45" w16cid:durableId="1341279333">
    <w:abstractNumId w:val="8"/>
  </w:num>
  <w:num w:numId="46" w16cid:durableId="61371954">
    <w:abstractNumId w:val="10"/>
  </w:num>
  <w:num w:numId="47" w16cid:durableId="1755080177">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780B"/>
    <w:rsid w:val="00013AA6"/>
    <w:rsid w:val="0001567E"/>
    <w:rsid w:val="00023901"/>
    <w:rsid w:val="00046D22"/>
    <w:rsid w:val="00060032"/>
    <w:rsid w:val="00062739"/>
    <w:rsid w:val="00064208"/>
    <w:rsid w:val="00067502"/>
    <w:rsid w:val="00067D3D"/>
    <w:rsid w:val="000706B8"/>
    <w:rsid w:val="00074118"/>
    <w:rsid w:val="00074CCE"/>
    <w:rsid w:val="00075429"/>
    <w:rsid w:val="00075E24"/>
    <w:rsid w:val="0008191A"/>
    <w:rsid w:val="00093720"/>
    <w:rsid w:val="00095579"/>
    <w:rsid w:val="000B1237"/>
    <w:rsid w:val="000B416A"/>
    <w:rsid w:val="000B52FC"/>
    <w:rsid w:val="000C0393"/>
    <w:rsid w:val="000C2B3F"/>
    <w:rsid w:val="000C5F54"/>
    <w:rsid w:val="000C7002"/>
    <w:rsid w:val="000C7413"/>
    <w:rsid w:val="000D2BDD"/>
    <w:rsid w:val="000D53DF"/>
    <w:rsid w:val="000D6D2E"/>
    <w:rsid w:val="000E1288"/>
    <w:rsid w:val="000E30ED"/>
    <w:rsid w:val="000E54B9"/>
    <w:rsid w:val="000F0A56"/>
    <w:rsid w:val="000F5648"/>
    <w:rsid w:val="001110B5"/>
    <w:rsid w:val="00113BB3"/>
    <w:rsid w:val="00117147"/>
    <w:rsid w:val="001217A9"/>
    <w:rsid w:val="001238EF"/>
    <w:rsid w:val="001438F5"/>
    <w:rsid w:val="001512D0"/>
    <w:rsid w:val="001525E5"/>
    <w:rsid w:val="001554C6"/>
    <w:rsid w:val="0015613B"/>
    <w:rsid w:val="001661EB"/>
    <w:rsid w:val="00166695"/>
    <w:rsid w:val="001759F4"/>
    <w:rsid w:val="00182E1A"/>
    <w:rsid w:val="0018495E"/>
    <w:rsid w:val="00184F77"/>
    <w:rsid w:val="00190C03"/>
    <w:rsid w:val="00192BFC"/>
    <w:rsid w:val="001A573F"/>
    <w:rsid w:val="001B10D1"/>
    <w:rsid w:val="001B236E"/>
    <w:rsid w:val="001C1590"/>
    <w:rsid w:val="001C5F08"/>
    <w:rsid w:val="001D175C"/>
    <w:rsid w:val="001E15E1"/>
    <w:rsid w:val="001E58CB"/>
    <w:rsid w:val="001E75F7"/>
    <w:rsid w:val="001F5988"/>
    <w:rsid w:val="00200B59"/>
    <w:rsid w:val="002020F9"/>
    <w:rsid w:val="00205321"/>
    <w:rsid w:val="002078D8"/>
    <w:rsid w:val="00212140"/>
    <w:rsid w:val="0021667F"/>
    <w:rsid w:val="002231B8"/>
    <w:rsid w:val="00223476"/>
    <w:rsid w:val="002245D6"/>
    <w:rsid w:val="0022628F"/>
    <w:rsid w:val="00233D58"/>
    <w:rsid w:val="00240241"/>
    <w:rsid w:val="002426CC"/>
    <w:rsid w:val="0024611B"/>
    <w:rsid w:val="002521AD"/>
    <w:rsid w:val="0025636B"/>
    <w:rsid w:val="00266B02"/>
    <w:rsid w:val="00281D43"/>
    <w:rsid w:val="002863E1"/>
    <w:rsid w:val="002864E5"/>
    <w:rsid w:val="002950A2"/>
    <w:rsid w:val="002967F7"/>
    <w:rsid w:val="00296966"/>
    <w:rsid w:val="002B0C65"/>
    <w:rsid w:val="002B4E58"/>
    <w:rsid w:val="002B65BE"/>
    <w:rsid w:val="002B7129"/>
    <w:rsid w:val="002C0FA4"/>
    <w:rsid w:val="002C2C53"/>
    <w:rsid w:val="002C4790"/>
    <w:rsid w:val="002C726A"/>
    <w:rsid w:val="002C7DF0"/>
    <w:rsid w:val="002D066F"/>
    <w:rsid w:val="002D11B6"/>
    <w:rsid w:val="002E2DB5"/>
    <w:rsid w:val="002E2FEF"/>
    <w:rsid w:val="002E387F"/>
    <w:rsid w:val="002E4257"/>
    <w:rsid w:val="002E5F2B"/>
    <w:rsid w:val="002E7C98"/>
    <w:rsid w:val="002F06E7"/>
    <w:rsid w:val="002F10D1"/>
    <w:rsid w:val="002F1A52"/>
    <w:rsid w:val="002F2A4A"/>
    <w:rsid w:val="002F347C"/>
    <w:rsid w:val="002F61D9"/>
    <w:rsid w:val="002F732E"/>
    <w:rsid w:val="002F7AEF"/>
    <w:rsid w:val="0030508E"/>
    <w:rsid w:val="00305412"/>
    <w:rsid w:val="0030620E"/>
    <w:rsid w:val="003127EA"/>
    <w:rsid w:val="003172D8"/>
    <w:rsid w:val="00326184"/>
    <w:rsid w:val="00326C1B"/>
    <w:rsid w:val="00332939"/>
    <w:rsid w:val="00333514"/>
    <w:rsid w:val="0033738F"/>
    <w:rsid w:val="0034023F"/>
    <w:rsid w:val="00353BB8"/>
    <w:rsid w:val="00356EFA"/>
    <w:rsid w:val="00357DC1"/>
    <w:rsid w:val="00360107"/>
    <w:rsid w:val="00360422"/>
    <w:rsid w:val="0036203B"/>
    <w:rsid w:val="00363456"/>
    <w:rsid w:val="0036719F"/>
    <w:rsid w:val="0036727B"/>
    <w:rsid w:val="003764DB"/>
    <w:rsid w:val="00381675"/>
    <w:rsid w:val="003928F5"/>
    <w:rsid w:val="00395D9F"/>
    <w:rsid w:val="0039687B"/>
    <w:rsid w:val="00396970"/>
    <w:rsid w:val="003A0352"/>
    <w:rsid w:val="003A09A4"/>
    <w:rsid w:val="003B0348"/>
    <w:rsid w:val="003B2F7D"/>
    <w:rsid w:val="003B42BE"/>
    <w:rsid w:val="003B4D88"/>
    <w:rsid w:val="003B5F37"/>
    <w:rsid w:val="003C6482"/>
    <w:rsid w:val="003D2F5B"/>
    <w:rsid w:val="003E2234"/>
    <w:rsid w:val="003E3599"/>
    <w:rsid w:val="003F0BB5"/>
    <w:rsid w:val="003F1784"/>
    <w:rsid w:val="003F4574"/>
    <w:rsid w:val="00403616"/>
    <w:rsid w:val="00415D41"/>
    <w:rsid w:val="0041675B"/>
    <w:rsid w:val="004226BC"/>
    <w:rsid w:val="00425277"/>
    <w:rsid w:val="00426108"/>
    <w:rsid w:val="0042626B"/>
    <w:rsid w:val="00430C05"/>
    <w:rsid w:val="0043779E"/>
    <w:rsid w:val="00450D60"/>
    <w:rsid w:val="00453C8B"/>
    <w:rsid w:val="00467870"/>
    <w:rsid w:val="00476F01"/>
    <w:rsid w:val="00481E16"/>
    <w:rsid w:val="004830C0"/>
    <w:rsid w:val="004849D0"/>
    <w:rsid w:val="00487144"/>
    <w:rsid w:val="00494991"/>
    <w:rsid w:val="004A0048"/>
    <w:rsid w:val="004B44FC"/>
    <w:rsid w:val="004B5352"/>
    <w:rsid w:val="004B6FB7"/>
    <w:rsid w:val="004C1F51"/>
    <w:rsid w:val="004C398A"/>
    <w:rsid w:val="004C5E68"/>
    <w:rsid w:val="004D0983"/>
    <w:rsid w:val="004D12FC"/>
    <w:rsid w:val="004D423B"/>
    <w:rsid w:val="004D489F"/>
    <w:rsid w:val="004D5990"/>
    <w:rsid w:val="004E5171"/>
    <w:rsid w:val="004F40D2"/>
    <w:rsid w:val="004F4BBF"/>
    <w:rsid w:val="004F7075"/>
    <w:rsid w:val="00510AE9"/>
    <w:rsid w:val="005168D2"/>
    <w:rsid w:val="0051693A"/>
    <w:rsid w:val="00520BA9"/>
    <w:rsid w:val="005349B4"/>
    <w:rsid w:val="0054012D"/>
    <w:rsid w:val="00550D26"/>
    <w:rsid w:val="00552721"/>
    <w:rsid w:val="00552B2B"/>
    <w:rsid w:val="00552B93"/>
    <w:rsid w:val="00552BDB"/>
    <w:rsid w:val="00552D7D"/>
    <w:rsid w:val="00555272"/>
    <w:rsid w:val="005633B6"/>
    <w:rsid w:val="00563C2E"/>
    <w:rsid w:val="00566450"/>
    <w:rsid w:val="00566BDA"/>
    <w:rsid w:val="00567F05"/>
    <w:rsid w:val="00581E30"/>
    <w:rsid w:val="00582713"/>
    <w:rsid w:val="005838A5"/>
    <w:rsid w:val="0058472E"/>
    <w:rsid w:val="0059190D"/>
    <w:rsid w:val="00593468"/>
    <w:rsid w:val="00593712"/>
    <w:rsid w:val="00593DBA"/>
    <w:rsid w:val="005941FD"/>
    <w:rsid w:val="005A273A"/>
    <w:rsid w:val="005A4A91"/>
    <w:rsid w:val="005B6640"/>
    <w:rsid w:val="005B7A72"/>
    <w:rsid w:val="005C3E75"/>
    <w:rsid w:val="005C69C4"/>
    <w:rsid w:val="005D44DA"/>
    <w:rsid w:val="005D609A"/>
    <w:rsid w:val="005D6E8E"/>
    <w:rsid w:val="005E4964"/>
    <w:rsid w:val="005E5E8D"/>
    <w:rsid w:val="005E6ECD"/>
    <w:rsid w:val="005E6F80"/>
    <w:rsid w:val="005F0983"/>
    <w:rsid w:val="005F778D"/>
    <w:rsid w:val="00605820"/>
    <w:rsid w:val="0061454A"/>
    <w:rsid w:val="0061726E"/>
    <w:rsid w:val="00617A4A"/>
    <w:rsid w:val="00624CAE"/>
    <w:rsid w:val="00625378"/>
    <w:rsid w:val="0062781F"/>
    <w:rsid w:val="006325C6"/>
    <w:rsid w:val="00633123"/>
    <w:rsid w:val="006373CB"/>
    <w:rsid w:val="00662C02"/>
    <w:rsid w:val="006674FC"/>
    <w:rsid w:val="00670B3B"/>
    <w:rsid w:val="00670F0A"/>
    <w:rsid w:val="006750B2"/>
    <w:rsid w:val="00677448"/>
    <w:rsid w:val="00690A37"/>
    <w:rsid w:val="006917A1"/>
    <w:rsid w:val="00691C59"/>
    <w:rsid w:val="0069413E"/>
    <w:rsid w:val="0069483A"/>
    <w:rsid w:val="00695B48"/>
    <w:rsid w:val="006964B0"/>
    <w:rsid w:val="006A0E9D"/>
    <w:rsid w:val="006B4C60"/>
    <w:rsid w:val="006B5858"/>
    <w:rsid w:val="006B746F"/>
    <w:rsid w:val="006C0069"/>
    <w:rsid w:val="006C21F6"/>
    <w:rsid w:val="006C2686"/>
    <w:rsid w:val="006C5B14"/>
    <w:rsid w:val="006D0BA1"/>
    <w:rsid w:val="006D32DC"/>
    <w:rsid w:val="006D636A"/>
    <w:rsid w:val="006E2203"/>
    <w:rsid w:val="006F01E2"/>
    <w:rsid w:val="00703916"/>
    <w:rsid w:val="007321BA"/>
    <w:rsid w:val="00732B16"/>
    <w:rsid w:val="00734B75"/>
    <w:rsid w:val="00741835"/>
    <w:rsid w:val="007450D4"/>
    <w:rsid w:val="007467D0"/>
    <w:rsid w:val="007514E4"/>
    <w:rsid w:val="00755A3C"/>
    <w:rsid w:val="007618D8"/>
    <w:rsid w:val="007641CA"/>
    <w:rsid w:val="00765D76"/>
    <w:rsid w:val="007667E7"/>
    <w:rsid w:val="00780465"/>
    <w:rsid w:val="00785435"/>
    <w:rsid w:val="0078578F"/>
    <w:rsid w:val="007977FB"/>
    <w:rsid w:val="007A2502"/>
    <w:rsid w:val="007A379E"/>
    <w:rsid w:val="007A5EF3"/>
    <w:rsid w:val="007C0D1F"/>
    <w:rsid w:val="007C792D"/>
    <w:rsid w:val="007D1AF5"/>
    <w:rsid w:val="007E1BAE"/>
    <w:rsid w:val="007E6A3A"/>
    <w:rsid w:val="007E778C"/>
    <w:rsid w:val="007E7F4C"/>
    <w:rsid w:val="007F2357"/>
    <w:rsid w:val="007F46AB"/>
    <w:rsid w:val="007F6503"/>
    <w:rsid w:val="00807A13"/>
    <w:rsid w:val="00807FFE"/>
    <w:rsid w:val="008113AE"/>
    <w:rsid w:val="0081152D"/>
    <w:rsid w:val="008178BC"/>
    <w:rsid w:val="00821481"/>
    <w:rsid w:val="008234B8"/>
    <w:rsid w:val="008266F9"/>
    <w:rsid w:val="008311F6"/>
    <w:rsid w:val="00834AAF"/>
    <w:rsid w:val="0083503B"/>
    <w:rsid w:val="00836F13"/>
    <w:rsid w:val="0084144B"/>
    <w:rsid w:val="0084416B"/>
    <w:rsid w:val="00844BA3"/>
    <w:rsid w:val="00847070"/>
    <w:rsid w:val="00847572"/>
    <w:rsid w:val="008506A6"/>
    <w:rsid w:val="008538D1"/>
    <w:rsid w:val="008549B9"/>
    <w:rsid w:val="00863373"/>
    <w:rsid w:val="00864F47"/>
    <w:rsid w:val="00872B09"/>
    <w:rsid w:val="00873965"/>
    <w:rsid w:val="00883512"/>
    <w:rsid w:val="00885EC7"/>
    <w:rsid w:val="00891698"/>
    <w:rsid w:val="0089393D"/>
    <w:rsid w:val="00896408"/>
    <w:rsid w:val="008B4549"/>
    <w:rsid w:val="008B5120"/>
    <w:rsid w:val="008B5965"/>
    <w:rsid w:val="008B5B13"/>
    <w:rsid w:val="008B6FD2"/>
    <w:rsid w:val="008D272E"/>
    <w:rsid w:val="008D4193"/>
    <w:rsid w:val="008F78C7"/>
    <w:rsid w:val="00902098"/>
    <w:rsid w:val="009044E2"/>
    <w:rsid w:val="00910D5B"/>
    <w:rsid w:val="00913774"/>
    <w:rsid w:val="00914C1A"/>
    <w:rsid w:val="009201C0"/>
    <w:rsid w:val="00924CE0"/>
    <w:rsid w:val="00925258"/>
    <w:rsid w:val="009307F9"/>
    <w:rsid w:val="009323FA"/>
    <w:rsid w:val="00936E13"/>
    <w:rsid w:val="00937625"/>
    <w:rsid w:val="009424BC"/>
    <w:rsid w:val="009451BF"/>
    <w:rsid w:val="009667B6"/>
    <w:rsid w:val="0097268B"/>
    <w:rsid w:val="009761CC"/>
    <w:rsid w:val="009837D6"/>
    <w:rsid w:val="00984F19"/>
    <w:rsid w:val="00985128"/>
    <w:rsid w:val="009852BF"/>
    <w:rsid w:val="00987513"/>
    <w:rsid w:val="00987DAB"/>
    <w:rsid w:val="00991BAA"/>
    <w:rsid w:val="0099423E"/>
    <w:rsid w:val="00995879"/>
    <w:rsid w:val="009A61A2"/>
    <w:rsid w:val="009B12D9"/>
    <w:rsid w:val="009B197C"/>
    <w:rsid w:val="009B3B6A"/>
    <w:rsid w:val="009C5D98"/>
    <w:rsid w:val="009C62B2"/>
    <w:rsid w:val="009C7B74"/>
    <w:rsid w:val="009D09FC"/>
    <w:rsid w:val="009E3807"/>
    <w:rsid w:val="009E4469"/>
    <w:rsid w:val="009E649E"/>
    <w:rsid w:val="009F1510"/>
    <w:rsid w:val="00A02C0E"/>
    <w:rsid w:val="00A13493"/>
    <w:rsid w:val="00A1546E"/>
    <w:rsid w:val="00A2124E"/>
    <w:rsid w:val="00A264E6"/>
    <w:rsid w:val="00A27518"/>
    <w:rsid w:val="00A3141D"/>
    <w:rsid w:val="00A52D65"/>
    <w:rsid w:val="00A5373A"/>
    <w:rsid w:val="00A56851"/>
    <w:rsid w:val="00A7110F"/>
    <w:rsid w:val="00A7577F"/>
    <w:rsid w:val="00A8744F"/>
    <w:rsid w:val="00A87A23"/>
    <w:rsid w:val="00A87FD6"/>
    <w:rsid w:val="00A9623C"/>
    <w:rsid w:val="00AA0500"/>
    <w:rsid w:val="00AA6E58"/>
    <w:rsid w:val="00AB5284"/>
    <w:rsid w:val="00AB5E05"/>
    <w:rsid w:val="00AC04E5"/>
    <w:rsid w:val="00AC2D8A"/>
    <w:rsid w:val="00AC3233"/>
    <w:rsid w:val="00AC4FFD"/>
    <w:rsid w:val="00AC543D"/>
    <w:rsid w:val="00AC5580"/>
    <w:rsid w:val="00AD1DD1"/>
    <w:rsid w:val="00AD7B48"/>
    <w:rsid w:val="00AD7D56"/>
    <w:rsid w:val="00AE224D"/>
    <w:rsid w:val="00AE7A7C"/>
    <w:rsid w:val="00AF0D7E"/>
    <w:rsid w:val="00AF281F"/>
    <w:rsid w:val="00AF4B9A"/>
    <w:rsid w:val="00AF5497"/>
    <w:rsid w:val="00AF76F7"/>
    <w:rsid w:val="00B02D96"/>
    <w:rsid w:val="00B0501B"/>
    <w:rsid w:val="00B10DE0"/>
    <w:rsid w:val="00B11F0A"/>
    <w:rsid w:val="00B168D3"/>
    <w:rsid w:val="00B231CC"/>
    <w:rsid w:val="00B25AB9"/>
    <w:rsid w:val="00B3095F"/>
    <w:rsid w:val="00B34910"/>
    <w:rsid w:val="00B42117"/>
    <w:rsid w:val="00B43483"/>
    <w:rsid w:val="00B5286C"/>
    <w:rsid w:val="00B55909"/>
    <w:rsid w:val="00B630C8"/>
    <w:rsid w:val="00B647F3"/>
    <w:rsid w:val="00B652D7"/>
    <w:rsid w:val="00B66DAF"/>
    <w:rsid w:val="00B7570F"/>
    <w:rsid w:val="00B75B22"/>
    <w:rsid w:val="00B76853"/>
    <w:rsid w:val="00B8067C"/>
    <w:rsid w:val="00B81391"/>
    <w:rsid w:val="00B85C1A"/>
    <w:rsid w:val="00B9033E"/>
    <w:rsid w:val="00B953CA"/>
    <w:rsid w:val="00BA0445"/>
    <w:rsid w:val="00BA166E"/>
    <w:rsid w:val="00BB2B7D"/>
    <w:rsid w:val="00BB3075"/>
    <w:rsid w:val="00BB4083"/>
    <w:rsid w:val="00BB6C81"/>
    <w:rsid w:val="00BB741D"/>
    <w:rsid w:val="00BB782B"/>
    <w:rsid w:val="00BC145D"/>
    <w:rsid w:val="00BC23AD"/>
    <w:rsid w:val="00BC6137"/>
    <w:rsid w:val="00BC7762"/>
    <w:rsid w:val="00BD2B6C"/>
    <w:rsid w:val="00BF2476"/>
    <w:rsid w:val="00BF4DAF"/>
    <w:rsid w:val="00BF7C89"/>
    <w:rsid w:val="00C03CF9"/>
    <w:rsid w:val="00C10135"/>
    <w:rsid w:val="00C12BC9"/>
    <w:rsid w:val="00C13566"/>
    <w:rsid w:val="00C16CF5"/>
    <w:rsid w:val="00C17D12"/>
    <w:rsid w:val="00C20306"/>
    <w:rsid w:val="00C25724"/>
    <w:rsid w:val="00C342BD"/>
    <w:rsid w:val="00C351D7"/>
    <w:rsid w:val="00C3690F"/>
    <w:rsid w:val="00C422F4"/>
    <w:rsid w:val="00C43AED"/>
    <w:rsid w:val="00C43C79"/>
    <w:rsid w:val="00C44C02"/>
    <w:rsid w:val="00C47507"/>
    <w:rsid w:val="00C475B8"/>
    <w:rsid w:val="00C51186"/>
    <w:rsid w:val="00C52E0A"/>
    <w:rsid w:val="00C53B5F"/>
    <w:rsid w:val="00C540E0"/>
    <w:rsid w:val="00C541D3"/>
    <w:rsid w:val="00C6148A"/>
    <w:rsid w:val="00C67F56"/>
    <w:rsid w:val="00C71891"/>
    <w:rsid w:val="00C7470A"/>
    <w:rsid w:val="00C759B4"/>
    <w:rsid w:val="00C81065"/>
    <w:rsid w:val="00C82594"/>
    <w:rsid w:val="00C83889"/>
    <w:rsid w:val="00C86C18"/>
    <w:rsid w:val="00C9685C"/>
    <w:rsid w:val="00CB22AC"/>
    <w:rsid w:val="00CB23EC"/>
    <w:rsid w:val="00CB575E"/>
    <w:rsid w:val="00CB7238"/>
    <w:rsid w:val="00CC25D3"/>
    <w:rsid w:val="00CC4624"/>
    <w:rsid w:val="00CC5221"/>
    <w:rsid w:val="00CD7A29"/>
    <w:rsid w:val="00CE097E"/>
    <w:rsid w:val="00CE1F09"/>
    <w:rsid w:val="00CE2CF9"/>
    <w:rsid w:val="00CE39EE"/>
    <w:rsid w:val="00CE5DF4"/>
    <w:rsid w:val="00CF1FCB"/>
    <w:rsid w:val="00CF5385"/>
    <w:rsid w:val="00CF7CCD"/>
    <w:rsid w:val="00CF7EBD"/>
    <w:rsid w:val="00D007D6"/>
    <w:rsid w:val="00D00904"/>
    <w:rsid w:val="00D02C8E"/>
    <w:rsid w:val="00D15E49"/>
    <w:rsid w:val="00D25338"/>
    <w:rsid w:val="00D30A3F"/>
    <w:rsid w:val="00D36CA5"/>
    <w:rsid w:val="00D5574B"/>
    <w:rsid w:val="00D56D0B"/>
    <w:rsid w:val="00D61769"/>
    <w:rsid w:val="00D654AD"/>
    <w:rsid w:val="00D71A5D"/>
    <w:rsid w:val="00D7312E"/>
    <w:rsid w:val="00D7439A"/>
    <w:rsid w:val="00D812F3"/>
    <w:rsid w:val="00D81879"/>
    <w:rsid w:val="00D82210"/>
    <w:rsid w:val="00D83ED6"/>
    <w:rsid w:val="00D961B2"/>
    <w:rsid w:val="00DA0B35"/>
    <w:rsid w:val="00DA1653"/>
    <w:rsid w:val="00DD0A06"/>
    <w:rsid w:val="00DD6D10"/>
    <w:rsid w:val="00DE3098"/>
    <w:rsid w:val="00DE7509"/>
    <w:rsid w:val="00DF0705"/>
    <w:rsid w:val="00DF2917"/>
    <w:rsid w:val="00E00C67"/>
    <w:rsid w:val="00E0501E"/>
    <w:rsid w:val="00E12C67"/>
    <w:rsid w:val="00E16406"/>
    <w:rsid w:val="00E25B96"/>
    <w:rsid w:val="00E3004B"/>
    <w:rsid w:val="00E30421"/>
    <w:rsid w:val="00E42547"/>
    <w:rsid w:val="00E43D42"/>
    <w:rsid w:val="00E57CBB"/>
    <w:rsid w:val="00E60011"/>
    <w:rsid w:val="00E61D22"/>
    <w:rsid w:val="00E6628B"/>
    <w:rsid w:val="00E678EF"/>
    <w:rsid w:val="00E71E9F"/>
    <w:rsid w:val="00E72366"/>
    <w:rsid w:val="00E727A2"/>
    <w:rsid w:val="00E76F92"/>
    <w:rsid w:val="00E83909"/>
    <w:rsid w:val="00E87295"/>
    <w:rsid w:val="00E87A68"/>
    <w:rsid w:val="00E94D49"/>
    <w:rsid w:val="00E96BE2"/>
    <w:rsid w:val="00E9765B"/>
    <w:rsid w:val="00EA18C2"/>
    <w:rsid w:val="00EB02FF"/>
    <w:rsid w:val="00EB0768"/>
    <w:rsid w:val="00EC1172"/>
    <w:rsid w:val="00EC3388"/>
    <w:rsid w:val="00EC4B5B"/>
    <w:rsid w:val="00EC5775"/>
    <w:rsid w:val="00EC652C"/>
    <w:rsid w:val="00EC7D14"/>
    <w:rsid w:val="00ED4021"/>
    <w:rsid w:val="00ED55B6"/>
    <w:rsid w:val="00ED5B18"/>
    <w:rsid w:val="00EF0DE2"/>
    <w:rsid w:val="00EF318E"/>
    <w:rsid w:val="00EF74EE"/>
    <w:rsid w:val="00F01A4E"/>
    <w:rsid w:val="00F01EA5"/>
    <w:rsid w:val="00F02E8D"/>
    <w:rsid w:val="00F02EEE"/>
    <w:rsid w:val="00F1391C"/>
    <w:rsid w:val="00F14522"/>
    <w:rsid w:val="00F15D39"/>
    <w:rsid w:val="00F22A0B"/>
    <w:rsid w:val="00F22B09"/>
    <w:rsid w:val="00F27823"/>
    <w:rsid w:val="00F314B1"/>
    <w:rsid w:val="00F5465E"/>
    <w:rsid w:val="00F61374"/>
    <w:rsid w:val="00F6517B"/>
    <w:rsid w:val="00F8038B"/>
    <w:rsid w:val="00F84CC0"/>
    <w:rsid w:val="00F87D99"/>
    <w:rsid w:val="00F91050"/>
    <w:rsid w:val="00F92ABC"/>
    <w:rsid w:val="00F93880"/>
    <w:rsid w:val="00F93C5E"/>
    <w:rsid w:val="00F97F5F"/>
    <w:rsid w:val="00FA265F"/>
    <w:rsid w:val="00FA3432"/>
    <w:rsid w:val="00FA442C"/>
    <w:rsid w:val="00FA7290"/>
    <w:rsid w:val="00FA79B0"/>
    <w:rsid w:val="00FB0D1A"/>
    <w:rsid w:val="00FB15F7"/>
    <w:rsid w:val="00FB223C"/>
    <w:rsid w:val="00FB588D"/>
    <w:rsid w:val="00FB5C78"/>
    <w:rsid w:val="00FC1227"/>
    <w:rsid w:val="00FC16BD"/>
    <w:rsid w:val="00FC1996"/>
    <w:rsid w:val="00FC20A8"/>
    <w:rsid w:val="00FC6114"/>
    <w:rsid w:val="00FC6C68"/>
    <w:rsid w:val="00FD4EDC"/>
    <w:rsid w:val="00FD73FA"/>
    <w:rsid w:val="00FE27A9"/>
    <w:rsid w:val="00FE2C0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Paragraphe-CGPC"/>
    <w:rsid w:val="00691C59"/>
    <w:pPr>
      <w:jc w:val="both"/>
    </w:pPr>
    <w:rPr>
      <w:rFonts w:ascii="Open Sans" w:hAnsi="Open Sans"/>
      <w:kern w:val="0"/>
      <w:sz w:val="28"/>
      <w14:ligatures w14:val="none"/>
    </w:rPr>
  </w:style>
  <w:style w:type="paragraph" w:styleId="Titre1">
    <w:name w:val="heading 1"/>
    <w:aliases w:val="Titre 1-CGPC"/>
    <w:basedOn w:val="Normal"/>
    <w:next w:val="Titre2"/>
    <w:link w:val="Titre1Car"/>
    <w:autoRedefine/>
    <w:uiPriority w:val="9"/>
    <w:qFormat/>
    <w:rsid w:val="00360422"/>
    <w:pPr>
      <w:keepNext/>
      <w:keepLines/>
      <w:numPr>
        <w:numId w:val="2"/>
      </w:numPr>
      <w:spacing w:after="0" w:line="900" w:lineRule="atLeast"/>
      <w:jc w:val="left"/>
      <w:textAlignment w:val="baseline"/>
      <w:outlineLvl w:val="0"/>
    </w:pPr>
    <w:rPr>
      <w:rFonts w:eastAsiaTheme="majorEastAsia" w:cstheme="majorBidi"/>
      <w:b/>
      <w:color w:val="FFFFFF" w:themeColor="background1"/>
      <w:sz w:val="56"/>
      <w:szCs w:val="32"/>
    </w:rPr>
  </w:style>
  <w:style w:type="paragraph" w:styleId="Titre2">
    <w:name w:val="heading 2"/>
    <w:aliases w:val="Titre 2 CGPC"/>
    <w:basedOn w:val="Paragraphe-CGPC"/>
    <w:next w:val="Paragraphe-CGPC"/>
    <w:link w:val="Titre2Car"/>
    <w:autoRedefine/>
    <w:uiPriority w:val="9"/>
    <w:unhideWhenUsed/>
    <w:qFormat/>
    <w:rsid w:val="00095579"/>
    <w:pPr>
      <w:keepNext/>
      <w:keepLines/>
      <w:numPr>
        <w:numId w:val="11"/>
      </w:numPr>
      <w:shd w:val="clear" w:color="auto" w:fill="FFFFFF"/>
      <w:spacing w:before="120" w:after="120" w:line="360" w:lineRule="auto"/>
      <w:contextualSpacing/>
      <w:textAlignment w:val="baseline"/>
      <w:outlineLvl w:val="1"/>
    </w:pPr>
    <w:rPr>
      <w:rFonts w:eastAsiaTheme="majorEastAsia"/>
      <w:b/>
      <w:color w:val="3A5D9C"/>
      <w:sz w:val="52"/>
      <w:szCs w:val="26"/>
      <w:bdr w:val="none" w:sz="0" w:space="0" w:color="auto" w:frame="1"/>
    </w:rPr>
  </w:style>
  <w:style w:type="paragraph" w:styleId="Titre3">
    <w:name w:val="heading 3"/>
    <w:aliases w:val="Titre 3 CGPC"/>
    <w:basedOn w:val="Paragraphe-CGPC"/>
    <w:next w:val="Paragraphe-CGPC"/>
    <w:link w:val="Titre3Car"/>
    <w:autoRedefine/>
    <w:uiPriority w:val="9"/>
    <w:unhideWhenUsed/>
    <w:qFormat/>
    <w:rsid w:val="00FC6C68"/>
    <w:pPr>
      <w:keepNext/>
      <w:keepLines/>
      <w:numPr>
        <w:numId w:val="13"/>
      </w:numPr>
      <w:shd w:val="clear" w:color="auto" w:fill="FFFFFF"/>
      <w:spacing w:before="600" w:after="280" w:line="240" w:lineRule="auto"/>
      <w:textAlignment w:val="baseline"/>
      <w:outlineLvl w:val="2"/>
    </w:pPr>
    <w:rPr>
      <w:rFonts w:eastAsia="Times New Roman"/>
      <w:b/>
      <w:color w:val="3A5D9C"/>
      <w:sz w:val="48"/>
      <w:szCs w:val="30"/>
      <w:bdr w:val="none" w:sz="0" w:space="0" w:color="auto" w:frame="1"/>
      <w:lang w:eastAsia="fr-FR"/>
    </w:rPr>
  </w:style>
  <w:style w:type="paragraph" w:styleId="Titre4">
    <w:name w:val="heading 4"/>
    <w:aliases w:val="Titre 4 CGPC"/>
    <w:basedOn w:val="Paragraphe-CGPC"/>
    <w:next w:val="Normal"/>
    <w:link w:val="Titre4Car"/>
    <w:autoRedefine/>
    <w:uiPriority w:val="9"/>
    <w:unhideWhenUsed/>
    <w:qFormat/>
    <w:rsid w:val="001110B5"/>
    <w:pPr>
      <w:keepNext/>
      <w:keepLines/>
      <w:numPr>
        <w:numId w:val="1"/>
      </w:numPr>
      <w:spacing w:before="280" w:after="240" w:line="240" w:lineRule="auto"/>
      <w:ind w:left="0" w:firstLine="0"/>
      <w:outlineLvl w:val="3"/>
    </w:pPr>
    <w:rPr>
      <w:rFonts w:eastAsiaTheme="majorEastAsia" w:cstheme="majorBidi"/>
      <w:b/>
      <w:iCs/>
      <w:color w:val="2F5496" w:themeColor="accent1" w:themeShade="BF"/>
      <w:sz w:val="44"/>
      <w:u w:val="single"/>
      <w:bdr w:val="none" w:sz="0" w:space="0" w:color="auto" w:frame="1"/>
    </w:rPr>
  </w:style>
  <w:style w:type="paragraph" w:styleId="Titre5">
    <w:name w:val="heading 5"/>
    <w:aliases w:val="Titre 5-CGPC"/>
    <w:basedOn w:val="Paragraphe-CGPC"/>
    <w:next w:val="Normal"/>
    <w:link w:val="Titre5Car"/>
    <w:autoRedefine/>
    <w:uiPriority w:val="9"/>
    <w:unhideWhenUsed/>
    <w:qFormat/>
    <w:rsid w:val="00670B3B"/>
    <w:pPr>
      <w:keepNext/>
      <w:keepLines/>
      <w:numPr>
        <w:numId w:val="18"/>
      </w:numPr>
      <w:spacing w:before="400" w:after="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095579"/>
    <w:rPr>
      <w:rFonts w:ascii="Open Sans" w:eastAsiaTheme="majorEastAsia" w:hAnsi="Open Sans" w:cs="Open Sans"/>
      <w:b/>
      <w:bCs/>
      <w:color w:val="3A5D9C"/>
      <w:sz w:val="52"/>
      <w:szCs w:val="26"/>
      <w:bdr w:val="none" w:sz="0" w:space="0" w:color="auto" w:frame="1"/>
      <w:shd w:val="clear" w:color="auto" w:fill="FFFFFF"/>
    </w:rPr>
  </w:style>
  <w:style w:type="character" w:customStyle="1" w:styleId="Titre1Car">
    <w:name w:val="Titre 1 Car"/>
    <w:aliases w:val="Titre 1-CGPC Car"/>
    <w:basedOn w:val="Policepardfaut"/>
    <w:link w:val="Titre1"/>
    <w:uiPriority w:val="9"/>
    <w:rsid w:val="00360422"/>
    <w:rPr>
      <w:rFonts w:ascii="Open Sans" w:eastAsiaTheme="majorEastAsia" w:hAnsi="Open Sans" w:cstheme="majorBidi"/>
      <w:b/>
      <w:color w:val="FFFFFF" w:themeColor="background1"/>
      <w:kern w:val="0"/>
      <w:sz w:val="56"/>
      <w:szCs w:val="32"/>
      <w14:ligatures w14:val="none"/>
    </w:rPr>
  </w:style>
  <w:style w:type="paragraph" w:customStyle="1" w:styleId="Paragraphe-CGPC">
    <w:name w:val="Paragraphe-CGPC"/>
    <w:basedOn w:val="Normal"/>
    <w:link w:val="Paragraphe-CGPCCar"/>
    <w:autoRedefine/>
    <w:qFormat/>
    <w:rsid w:val="002E5F2B"/>
    <w:pPr>
      <w:jc w:val="left"/>
    </w:pPr>
    <w:rPr>
      <w:rFonts w:cs="Open Sans"/>
      <w:bCs/>
      <w:color w:val="000000" w:themeColor="text1"/>
      <w:kern w:val="2"/>
      <w:sz w:val="32"/>
      <w:szCs w:val="24"/>
      <w14:ligatures w14:val="standardContextual"/>
    </w:rPr>
  </w:style>
  <w:style w:type="character" w:customStyle="1" w:styleId="Paragraphe-CGPCCar">
    <w:name w:val="Paragraphe-CGPC Car"/>
    <w:basedOn w:val="Policepardfaut"/>
    <w:link w:val="Paragraphe-CGPC"/>
    <w:rsid w:val="002E5F2B"/>
    <w:rPr>
      <w:rFonts w:ascii="Open Sans" w:hAnsi="Open Sans" w:cs="Open Sans"/>
      <w:bCs/>
      <w:color w:val="000000" w:themeColor="text1"/>
      <w:sz w:val="32"/>
      <w:szCs w:val="24"/>
    </w:rPr>
  </w:style>
  <w:style w:type="character" w:customStyle="1" w:styleId="Titre3Car">
    <w:name w:val="Titre 3 Car"/>
    <w:aliases w:val="Titre 3 CGPC Car"/>
    <w:basedOn w:val="Policepardfaut"/>
    <w:link w:val="Titre3"/>
    <w:uiPriority w:val="9"/>
    <w:rsid w:val="00FC6C68"/>
    <w:rPr>
      <w:rFonts w:ascii="Open Sans" w:eastAsia="Times New Roman" w:hAnsi="Open Sans" w:cs="Open Sans"/>
      <w:b/>
      <w:bCs/>
      <w:color w:val="3A5D9C"/>
      <w:sz w:val="48"/>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1110B5"/>
    <w:rPr>
      <w:rFonts w:ascii="Open Sans" w:eastAsiaTheme="majorEastAsia" w:hAnsi="Open Sans" w:cstheme="majorBidi"/>
      <w:b/>
      <w:bCs/>
      <w:iCs/>
      <w:color w:val="2F5496" w:themeColor="accent1" w:themeShade="BF"/>
      <w:sz w:val="44"/>
      <w:szCs w:val="24"/>
      <w:u w:val="single"/>
      <w:bdr w:val="none" w:sz="0" w:space="0" w:color="auto" w:frame="1"/>
    </w:rPr>
  </w:style>
  <w:style w:type="character" w:customStyle="1" w:styleId="Titre5Car">
    <w:name w:val="Titre 5 Car"/>
    <w:aliases w:val="Titre 5-CGPC Car"/>
    <w:basedOn w:val="Policepardfaut"/>
    <w:link w:val="Titre5"/>
    <w:uiPriority w:val="9"/>
    <w:rsid w:val="00A2124E"/>
    <w:rPr>
      <w:rFonts w:ascii="Open Sans" w:eastAsia="Times New Roman" w:hAnsi="Open Sans" w:cstheme="majorBidi"/>
      <w:b/>
      <w:bCs/>
      <w:i/>
      <w:color w:val="2F5496" w:themeColor="accent1" w:themeShade="BF"/>
      <w:sz w:val="32"/>
      <w:szCs w:val="24"/>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aliases w:val="- CGPC"/>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0D53DF"/>
    <w:pPr>
      <w:tabs>
        <w:tab w:val="left" w:pos="960"/>
        <w:tab w:val="right" w:leader="dot" w:pos="20921"/>
      </w:tabs>
      <w:spacing w:after="100"/>
    </w:pPr>
    <w:rPr>
      <w:rFonts w:ascii="Poppins" w:eastAsia="Times New Roman" w:hAnsi="Poppins" w:cs="Poppins"/>
      <w:b/>
      <w:bCs/>
      <w:noProof/>
      <w:kern w:val="36"/>
      <w:lang w:eastAsia="fr-FR"/>
    </w:rPr>
  </w:style>
  <w:style w:type="paragraph" w:styleId="Citationintense">
    <w:name w:val="Intense Quote"/>
    <w:basedOn w:val="Normal"/>
    <w:next w:val="Normal"/>
    <w:link w:val="CitationintenseCar"/>
    <w:uiPriority w:val="30"/>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Corpsdetexte">
    <w:name w:val="Body Text"/>
    <w:basedOn w:val="Normal"/>
    <w:link w:val="CorpsdetexteCar"/>
    <w:uiPriority w:val="1"/>
    <w:rsid w:val="002B65BE"/>
    <w:pPr>
      <w:widowControl w:val="0"/>
      <w:autoSpaceDE w:val="0"/>
      <w:autoSpaceDN w:val="0"/>
      <w:spacing w:after="0" w:line="240" w:lineRule="auto"/>
      <w:jc w:val="left"/>
    </w:pPr>
    <w:rPr>
      <w:rFonts w:ascii="Times New Roman" w:eastAsia="Times New Roman" w:hAnsi="Times New Roman" w:cs="Times New Roman"/>
      <w:sz w:val="20"/>
      <w:szCs w:val="20"/>
    </w:rPr>
  </w:style>
  <w:style w:type="character" w:customStyle="1" w:styleId="CorpsdetexteCar">
    <w:name w:val="Corps de texte Car"/>
    <w:basedOn w:val="Policepardfaut"/>
    <w:link w:val="Corpsdetexte"/>
    <w:uiPriority w:val="1"/>
    <w:rsid w:val="002B65BE"/>
    <w:rPr>
      <w:rFonts w:ascii="Times New Roman" w:eastAsia="Times New Roman" w:hAnsi="Times New Roman" w:cs="Times New Roman"/>
      <w:kern w:val="0"/>
      <w:sz w:val="20"/>
      <w:szCs w:val="20"/>
      <w14:ligatures w14:val="none"/>
    </w:rPr>
  </w:style>
  <w:style w:type="paragraph" w:customStyle="1" w:styleId="msonormal0">
    <w:name w:val="msonormal"/>
    <w:basedOn w:val="Normal"/>
    <w:rsid w:val="00CB575E"/>
    <w:pPr>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etpbtextinner">
    <w:name w:val="et_pb_text_inner"/>
    <w:basedOn w:val="Normal"/>
    <w:rsid w:val="00CB575E"/>
    <w:pPr>
      <w:spacing w:before="100" w:beforeAutospacing="1" w:after="100" w:afterAutospacing="1" w:line="240" w:lineRule="auto"/>
      <w:jc w:val="left"/>
    </w:pPr>
    <w:rPr>
      <w:rFonts w:ascii="Times New Roman" w:eastAsia="Times New Roman" w:hAnsi="Times New Roman" w:cs="Times New Roman"/>
      <w:szCs w:val="24"/>
      <w:lang w:val="en-US"/>
    </w:rPr>
  </w:style>
  <w:style w:type="character" w:customStyle="1" w:styleId="etpbimagewrap">
    <w:name w:val="et_pb_image_wrap"/>
    <w:basedOn w:val="Policepardfaut"/>
    <w:rsid w:val="00CB575E"/>
  </w:style>
  <w:style w:type="character" w:styleId="Lienhypertextesuivivisit">
    <w:name w:val="FollowedHyperlink"/>
    <w:basedOn w:val="Policepardfaut"/>
    <w:uiPriority w:val="99"/>
    <w:semiHidden/>
    <w:unhideWhenUsed/>
    <w:rsid w:val="00CB575E"/>
    <w:rPr>
      <w:color w:val="800080"/>
      <w:u w:val="single"/>
    </w:rPr>
  </w:style>
  <w:style w:type="character" w:customStyle="1" w:styleId="fooicon">
    <w:name w:val="fooicon"/>
    <w:basedOn w:val="Policepardfaut"/>
    <w:rsid w:val="00CB575E"/>
  </w:style>
  <w:style w:type="character" w:styleId="Mentionnonrsolue">
    <w:name w:val="Unresolved Mention"/>
    <w:basedOn w:val="Policepardfaut"/>
    <w:uiPriority w:val="99"/>
    <w:semiHidden/>
    <w:unhideWhenUsed/>
    <w:rsid w:val="00AC543D"/>
    <w:rPr>
      <w:color w:val="605E5C"/>
      <w:shd w:val="clear" w:color="auto" w:fill="E1DFDD"/>
    </w:rPr>
  </w:style>
  <w:style w:type="character" w:customStyle="1" w:styleId="txt">
    <w:name w:val="txt"/>
    <w:basedOn w:val="Policepardfaut"/>
    <w:rsid w:val="0084144B"/>
  </w:style>
  <w:style w:type="character" w:customStyle="1" w:styleId="modif">
    <w:name w:val="modif"/>
    <w:basedOn w:val="Policepardfaut"/>
    <w:rsid w:val="0084144B"/>
  </w:style>
  <w:style w:type="character" w:customStyle="1" w:styleId="qw-refdoc">
    <w:name w:val="qw-refdoc"/>
    <w:basedOn w:val="Policepardfaut"/>
    <w:rsid w:val="0084144B"/>
  </w:style>
  <w:style w:type="character" w:customStyle="1" w:styleId="efl-deco-tooltip">
    <w:name w:val="efl-deco-tooltip"/>
    <w:basedOn w:val="Policepardfaut"/>
    <w:rsid w:val="0084144B"/>
  </w:style>
  <w:style w:type="character" w:customStyle="1" w:styleId="qw-frame-header-text">
    <w:name w:val="qw-frame-header-text"/>
    <w:basedOn w:val="Policepardfaut"/>
    <w:rsid w:val="0084144B"/>
  </w:style>
  <w:style w:type="character" w:customStyle="1" w:styleId="qw-art">
    <w:name w:val="qw-art"/>
    <w:basedOn w:val="Policepardfaut"/>
    <w:rsid w:val="0084144B"/>
  </w:style>
  <w:style w:type="paragraph" w:styleId="Paragraphedeliste">
    <w:name w:val="List Paragraph"/>
    <w:basedOn w:val="Normal"/>
    <w:uiPriority w:val="34"/>
    <w:rsid w:val="00EF318E"/>
    <w:pPr>
      <w:ind w:left="720"/>
      <w:contextualSpacing/>
    </w:pPr>
  </w:style>
  <w:style w:type="paragraph" w:styleId="Rvision">
    <w:name w:val="Revision"/>
    <w:hidden/>
    <w:uiPriority w:val="99"/>
    <w:semiHidden/>
    <w:rsid w:val="00987513"/>
    <w:pPr>
      <w:spacing w:after="0" w:line="240" w:lineRule="auto"/>
    </w:pPr>
    <w:rPr>
      <w:rFonts w:ascii="Open Sans" w:hAnsi="Open Sans"/>
      <w:kern w:val="0"/>
      <w:sz w:val="28"/>
      <w14:ligatures w14:val="none"/>
    </w:rPr>
  </w:style>
  <w:style w:type="character" w:styleId="Marquedecommentaire">
    <w:name w:val="annotation reference"/>
    <w:basedOn w:val="Policepardfaut"/>
    <w:uiPriority w:val="99"/>
    <w:semiHidden/>
    <w:unhideWhenUsed/>
    <w:rsid w:val="00914C1A"/>
    <w:rPr>
      <w:sz w:val="16"/>
      <w:szCs w:val="16"/>
    </w:rPr>
  </w:style>
  <w:style w:type="paragraph" w:styleId="Commentaire">
    <w:name w:val="annotation text"/>
    <w:basedOn w:val="Normal"/>
    <w:link w:val="CommentaireCar"/>
    <w:uiPriority w:val="99"/>
    <w:unhideWhenUsed/>
    <w:rsid w:val="00914C1A"/>
    <w:pPr>
      <w:spacing w:line="240" w:lineRule="auto"/>
    </w:pPr>
    <w:rPr>
      <w:sz w:val="20"/>
      <w:szCs w:val="20"/>
    </w:rPr>
  </w:style>
  <w:style w:type="character" w:customStyle="1" w:styleId="CommentaireCar">
    <w:name w:val="Commentaire Car"/>
    <w:basedOn w:val="Policepardfaut"/>
    <w:link w:val="Commentaire"/>
    <w:uiPriority w:val="99"/>
    <w:rsid w:val="00914C1A"/>
    <w:rPr>
      <w:rFonts w:ascii="Open Sans" w:hAnsi="Open Sans"/>
      <w:kern w:val="0"/>
      <w:sz w:val="20"/>
      <w:szCs w:val="20"/>
      <w14:ligatures w14:val="none"/>
    </w:rPr>
  </w:style>
  <w:style w:type="paragraph" w:styleId="Objetducommentaire">
    <w:name w:val="annotation subject"/>
    <w:basedOn w:val="Commentaire"/>
    <w:next w:val="Commentaire"/>
    <w:link w:val="ObjetducommentaireCar"/>
    <w:uiPriority w:val="99"/>
    <w:semiHidden/>
    <w:unhideWhenUsed/>
    <w:rsid w:val="00914C1A"/>
    <w:rPr>
      <w:b/>
      <w:bCs/>
    </w:rPr>
  </w:style>
  <w:style w:type="character" w:customStyle="1" w:styleId="ObjetducommentaireCar">
    <w:name w:val="Objet du commentaire Car"/>
    <w:basedOn w:val="CommentaireCar"/>
    <w:link w:val="Objetducommentaire"/>
    <w:uiPriority w:val="99"/>
    <w:semiHidden/>
    <w:rsid w:val="00914C1A"/>
    <w:rPr>
      <w:rFonts w:ascii="Open Sans" w:hAnsi="Open Sans"/>
      <w:b/>
      <w:bCs/>
      <w:kern w:val="0"/>
      <w:sz w:val="20"/>
      <w:szCs w:val="20"/>
      <w14:ligatures w14:val="none"/>
    </w:rPr>
  </w:style>
  <w:style w:type="paragraph" w:customStyle="1" w:styleId="CGPC-titreI">
    <w:name w:val="CGPC-titre I"/>
    <w:basedOn w:val="Paragraphe-CGPC"/>
    <w:link w:val="CGPC-titreICar"/>
    <w:rsid w:val="00670B3B"/>
  </w:style>
  <w:style w:type="character" w:customStyle="1" w:styleId="CGPC-titreICar">
    <w:name w:val="CGPC-titre I Car"/>
    <w:basedOn w:val="Paragraphe-CGPCCar"/>
    <w:link w:val="CGPC-titreI"/>
    <w:rsid w:val="00670B3B"/>
    <w:rPr>
      <w:rFonts w:ascii="Open Sans" w:hAnsi="Open Sans" w:cs="Open Sans"/>
      <w:bCs/>
      <w:color w:val="000000" w:themeColor="text1"/>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157361">
      <w:bodyDiv w:val="1"/>
      <w:marLeft w:val="0"/>
      <w:marRight w:val="0"/>
      <w:marTop w:val="0"/>
      <w:marBottom w:val="0"/>
      <w:divBdr>
        <w:top w:val="none" w:sz="0" w:space="0" w:color="auto"/>
        <w:left w:val="none" w:sz="0" w:space="0" w:color="auto"/>
        <w:bottom w:val="none" w:sz="0" w:space="0" w:color="auto"/>
        <w:right w:val="none" w:sz="0" w:space="0" w:color="auto"/>
      </w:divBdr>
      <w:divsChild>
        <w:div w:id="518815196">
          <w:marLeft w:val="0"/>
          <w:marRight w:val="0"/>
          <w:marTop w:val="0"/>
          <w:marBottom w:val="150"/>
          <w:divBdr>
            <w:top w:val="none" w:sz="0" w:space="0" w:color="auto"/>
            <w:left w:val="none" w:sz="0" w:space="0" w:color="auto"/>
            <w:bottom w:val="none" w:sz="0" w:space="0" w:color="auto"/>
            <w:right w:val="none" w:sz="0" w:space="0" w:color="auto"/>
          </w:divBdr>
          <w:divsChild>
            <w:div w:id="49381079">
              <w:marLeft w:val="1260"/>
              <w:marRight w:val="0"/>
              <w:marTop w:val="0"/>
              <w:marBottom w:val="0"/>
              <w:divBdr>
                <w:top w:val="none" w:sz="0" w:space="0" w:color="auto"/>
                <w:left w:val="none" w:sz="0" w:space="0" w:color="auto"/>
                <w:bottom w:val="none" w:sz="0" w:space="0" w:color="auto"/>
                <w:right w:val="none" w:sz="0" w:space="0" w:color="auto"/>
              </w:divBdr>
              <w:divsChild>
                <w:div w:id="16540863">
                  <w:marLeft w:val="-180"/>
                  <w:marRight w:val="0"/>
                  <w:marTop w:val="0"/>
                  <w:marBottom w:val="0"/>
                  <w:divBdr>
                    <w:top w:val="none" w:sz="0" w:space="0" w:color="auto"/>
                    <w:left w:val="single" w:sz="18" w:space="7" w:color="487FC6"/>
                    <w:bottom w:val="none" w:sz="0" w:space="0" w:color="auto"/>
                    <w:right w:val="none" w:sz="0" w:space="0" w:color="auto"/>
                  </w:divBdr>
                </w:div>
                <w:div w:id="698970623">
                  <w:marLeft w:val="-180"/>
                  <w:marRight w:val="0"/>
                  <w:marTop w:val="0"/>
                  <w:marBottom w:val="0"/>
                  <w:divBdr>
                    <w:top w:val="none" w:sz="0" w:space="0" w:color="auto"/>
                    <w:left w:val="single" w:sz="18" w:space="7" w:color="487FC6"/>
                    <w:bottom w:val="none" w:sz="0" w:space="0" w:color="auto"/>
                    <w:right w:val="none" w:sz="0" w:space="0" w:color="auto"/>
                  </w:divBdr>
                </w:div>
                <w:div w:id="799877687">
                  <w:marLeft w:val="750"/>
                  <w:marRight w:val="0"/>
                  <w:marTop w:val="180"/>
                  <w:marBottom w:val="240"/>
                  <w:divBdr>
                    <w:top w:val="none" w:sz="0" w:space="0" w:color="auto"/>
                    <w:left w:val="none" w:sz="0" w:space="0" w:color="auto"/>
                    <w:bottom w:val="none" w:sz="0" w:space="0" w:color="auto"/>
                    <w:right w:val="none" w:sz="0" w:space="0" w:color="auto"/>
                  </w:divBdr>
                  <w:divsChild>
                    <w:div w:id="163475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190280">
          <w:marLeft w:val="0"/>
          <w:marRight w:val="0"/>
          <w:marTop w:val="270"/>
          <w:marBottom w:val="240"/>
          <w:divBdr>
            <w:top w:val="none" w:sz="0" w:space="0" w:color="auto"/>
            <w:left w:val="none" w:sz="0" w:space="0" w:color="auto"/>
            <w:bottom w:val="none" w:sz="0" w:space="0" w:color="auto"/>
            <w:right w:val="none" w:sz="0" w:space="0" w:color="auto"/>
          </w:divBdr>
          <w:divsChild>
            <w:div w:id="1470979717">
              <w:marLeft w:val="1260"/>
              <w:marRight w:val="0"/>
              <w:marTop w:val="0"/>
              <w:marBottom w:val="240"/>
              <w:divBdr>
                <w:top w:val="none" w:sz="0" w:space="0" w:color="auto"/>
                <w:left w:val="none" w:sz="0" w:space="0" w:color="auto"/>
                <w:bottom w:val="none" w:sz="0" w:space="0" w:color="auto"/>
                <w:right w:val="none" w:sz="0" w:space="0" w:color="auto"/>
              </w:divBdr>
              <w:divsChild>
                <w:div w:id="16463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694840">
          <w:marLeft w:val="0"/>
          <w:marRight w:val="0"/>
          <w:marTop w:val="0"/>
          <w:marBottom w:val="150"/>
          <w:divBdr>
            <w:top w:val="none" w:sz="0" w:space="0" w:color="auto"/>
            <w:left w:val="none" w:sz="0" w:space="0" w:color="auto"/>
            <w:bottom w:val="none" w:sz="0" w:space="0" w:color="auto"/>
            <w:right w:val="none" w:sz="0" w:space="0" w:color="auto"/>
          </w:divBdr>
          <w:divsChild>
            <w:div w:id="275597373">
              <w:marLeft w:val="1260"/>
              <w:marRight w:val="0"/>
              <w:marTop w:val="0"/>
              <w:marBottom w:val="0"/>
              <w:divBdr>
                <w:top w:val="none" w:sz="0" w:space="0" w:color="auto"/>
                <w:left w:val="none" w:sz="0" w:space="0" w:color="auto"/>
                <w:bottom w:val="none" w:sz="0" w:space="0" w:color="auto"/>
                <w:right w:val="none" w:sz="0" w:space="0" w:color="auto"/>
              </w:divBdr>
              <w:divsChild>
                <w:div w:id="942802415">
                  <w:marLeft w:val="-180"/>
                  <w:marRight w:val="0"/>
                  <w:marTop w:val="0"/>
                  <w:marBottom w:val="0"/>
                  <w:divBdr>
                    <w:top w:val="none" w:sz="0" w:space="0" w:color="auto"/>
                    <w:left w:val="single" w:sz="18" w:space="7" w:color="487FC6"/>
                    <w:bottom w:val="none" w:sz="0" w:space="0" w:color="auto"/>
                    <w:right w:val="none" w:sz="0" w:space="0" w:color="auto"/>
                  </w:divBdr>
                </w:div>
                <w:div w:id="917396992">
                  <w:marLeft w:val="-180"/>
                  <w:marRight w:val="0"/>
                  <w:marTop w:val="0"/>
                  <w:marBottom w:val="0"/>
                  <w:divBdr>
                    <w:top w:val="none" w:sz="0" w:space="0" w:color="auto"/>
                    <w:left w:val="single" w:sz="18" w:space="7" w:color="487FC6"/>
                    <w:bottom w:val="none" w:sz="0" w:space="0" w:color="auto"/>
                    <w:right w:val="none" w:sz="0" w:space="0" w:color="auto"/>
                  </w:divBdr>
                </w:div>
                <w:div w:id="1167550047">
                  <w:marLeft w:val="-180"/>
                  <w:marRight w:val="0"/>
                  <w:marTop w:val="0"/>
                  <w:marBottom w:val="0"/>
                  <w:divBdr>
                    <w:top w:val="none" w:sz="0" w:space="0" w:color="auto"/>
                    <w:left w:val="single" w:sz="18" w:space="7" w:color="487FC6"/>
                    <w:bottom w:val="none" w:sz="0" w:space="0" w:color="auto"/>
                    <w:right w:val="none" w:sz="0" w:space="0" w:color="auto"/>
                  </w:divBdr>
                </w:div>
                <w:div w:id="1139223919">
                  <w:marLeft w:val="0"/>
                  <w:marRight w:val="0"/>
                  <w:marTop w:val="180"/>
                  <w:marBottom w:val="240"/>
                  <w:divBdr>
                    <w:top w:val="none" w:sz="0" w:space="0" w:color="auto"/>
                    <w:left w:val="none" w:sz="0" w:space="0" w:color="auto"/>
                    <w:bottom w:val="none" w:sz="0" w:space="0" w:color="auto"/>
                    <w:right w:val="none" w:sz="0" w:space="0" w:color="auto"/>
                  </w:divBdr>
                  <w:divsChild>
                    <w:div w:id="2016346547">
                      <w:marLeft w:val="0"/>
                      <w:marRight w:val="0"/>
                      <w:marTop w:val="0"/>
                      <w:marBottom w:val="0"/>
                      <w:divBdr>
                        <w:top w:val="none" w:sz="0" w:space="0" w:color="auto"/>
                        <w:left w:val="none" w:sz="0" w:space="0" w:color="auto"/>
                        <w:bottom w:val="none" w:sz="0" w:space="0" w:color="auto"/>
                        <w:right w:val="none" w:sz="0" w:space="0" w:color="auto"/>
                      </w:divBdr>
                    </w:div>
                    <w:div w:id="698431620">
                      <w:marLeft w:val="0"/>
                      <w:marRight w:val="0"/>
                      <w:marTop w:val="0"/>
                      <w:marBottom w:val="0"/>
                      <w:divBdr>
                        <w:top w:val="single" w:sz="6" w:space="9" w:color="9FBCE1"/>
                        <w:left w:val="single" w:sz="6" w:space="9" w:color="9FBCE1"/>
                        <w:bottom w:val="single" w:sz="6" w:space="9" w:color="9FBCE1"/>
                        <w:right w:val="single" w:sz="6" w:space="9" w:color="9FBCE1"/>
                      </w:divBdr>
                    </w:div>
                  </w:divsChild>
                </w:div>
              </w:divsChild>
            </w:div>
          </w:divsChild>
        </w:div>
        <w:div w:id="64769862">
          <w:marLeft w:val="0"/>
          <w:marRight w:val="0"/>
          <w:marTop w:val="270"/>
          <w:marBottom w:val="240"/>
          <w:divBdr>
            <w:top w:val="none" w:sz="0" w:space="0" w:color="auto"/>
            <w:left w:val="none" w:sz="0" w:space="0" w:color="auto"/>
            <w:bottom w:val="none" w:sz="0" w:space="0" w:color="auto"/>
            <w:right w:val="none" w:sz="0" w:space="0" w:color="auto"/>
          </w:divBdr>
          <w:divsChild>
            <w:div w:id="1728992939">
              <w:marLeft w:val="1260"/>
              <w:marRight w:val="0"/>
              <w:marTop w:val="0"/>
              <w:marBottom w:val="240"/>
              <w:divBdr>
                <w:top w:val="none" w:sz="0" w:space="0" w:color="auto"/>
                <w:left w:val="none" w:sz="0" w:space="0" w:color="auto"/>
                <w:bottom w:val="none" w:sz="0" w:space="0" w:color="auto"/>
                <w:right w:val="none" w:sz="0" w:space="0" w:color="auto"/>
              </w:divBdr>
              <w:divsChild>
                <w:div w:id="97012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533412">
          <w:marLeft w:val="0"/>
          <w:marRight w:val="0"/>
          <w:marTop w:val="0"/>
          <w:marBottom w:val="150"/>
          <w:divBdr>
            <w:top w:val="none" w:sz="0" w:space="0" w:color="auto"/>
            <w:left w:val="none" w:sz="0" w:space="0" w:color="auto"/>
            <w:bottom w:val="none" w:sz="0" w:space="0" w:color="auto"/>
            <w:right w:val="none" w:sz="0" w:space="0" w:color="auto"/>
          </w:divBdr>
          <w:divsChild>
            <w:div w:id="1542671972">
              <w:marLeft w:val="1260"/>
              <w:marRight w:val="0"/>
              <w:marTop w:val="0"/>
              <w:marBottom w:val="0"/>
              <w:divBdr>
                <w:top w:val="none" w:sz="0" w:space="0" w:color="auto"/>
                <w:left w:val="none" w:sz="0" w:space="0" w:color="auto"/>
                <w:bottom w:val="none" w:sz="0" w:space="0" w:color="auto"/>
                <w:right w:val="none" w:sz="0" w:space="0" w:color="auto"/>
              </w:divBdr>
              <w:divsChild>
                <w:div w:id="1498955787">
                  <w:marLeft w:val="-180"/>
                  <w:marRight w:val="0"/>
                  <w:marTop w:val="0"/>
                  <w:marBottom w:val="0"/>
                  <w:divBdr>
                    <w:top w:val="none" w:sz="0" w:space="0" w:color="auto"/>
                    <w:left w:val="single" w:sz="18" w:space="7" w:color="487FC6"/>
                    <w:bottom w:val="none" w:sz="0" w:space="0" w:color="auto"/>
                    <w:right w:val="none" w:sz="0" w:space="0" w:color="auto"/>
                  </w:divBdr>
                </w:div>
                <w:div w:id="971518653">
                  <w:marLeft w:val="750"/>
                  <w:marRight w:val="0"/>
                  <w:marTop w:val="180"/>
                  <w:marBottom w:val="240"/>
                  <w:divBdr>
                    <w:top w:val="none" w:sz="0" w:space="0" w:color="auto"/>
                    <w:left w:val="none" w:sz="0" w:space="0" w:color="auto"/>
                    <w:bottom w:val="none" w:sz="0" w:space="0" w:color="auto"/>
                    <w:right w:val="none" w:sz="0" w:space="0" w:color="auto"/>
                  </w:divBdr>
                  <w:divsChild>
                    <w:div w:id="91365713">
                      <w:marLeft w:val="0"/>
                      <w:marRight w:val="0"/>
                      <w:marTop w:val="0"/>
                      <w:marBottom w:val="0"/>
                      <w:divBdr>
                        <w:top w:val="none" w:sz="0" w:space="0" w:color="auto"/>
                        <w:left w:val="none" w:sz="0" w:space="0" w:color="auto"/>
                        <w:bottom w:val="none" w:sz="0" w:space="0" w:color="auto"/>
                        <w:right w:val="none" w:sz="0" w:space="0" w:color="auto"/>
                      </w:divBdr>
                    </w:div>
                  </w:divsChild>
                </w:div>
                <w:div w:id="458885706">
                  <w:marLeft w:val="-180"/>
                  <w:marRight w:val="0"/>
                  <w:marTop w:val="0"/>
                  <w:marBottom w:val="0"/>
                  <w:divBdr>
                    <w:top w:val="none" w:sz="0" w:space="0" w:color="auto"/>
                    <w:left w:val="single" w:sz="18" w:space="7" w:color="487FC6"/>
                    <w:bottom w:val="none" w:sz="0" w:space="0" w:color="auto"/>
                    <w:right w:val="none" w:sz="0" w:space="0" w:color="auto"/>
                  </w:divBdr>
                </w:div>
                <w:div w:id="298075720">
                  <w:marLeft w:val="0"/>
                  <w:marRight w:val="0"/>
                  <w:marTop w:val="180"/>
                  <w:marBottom w:val="240"/>
                  <w:divBdr>
                    <w:top w:val="none" w:sz="0" w:space="0" w:color="auto"/>
                    <w:left w:val="none" w:sz="0" w:space="0" w:color="auto"/>
                    <w:bottom w:val="none" w:sz="0" w:space="0" w:color="auto"/>
                    <w:right w:val="none" w:sz="0" w:space="0" w:color="auto"/>
                  </w:divBdr>
                  <w:divsChild>
                    <w:div w:id="852258813">
                      <w:marLeft w:val="0"/>
                      <w:marRight w:val="0"/>
                      <w:marTop w:val="0"/>
                      <w:marBottom w:val="0"/>
                      <w:divBdr>
                        <w:top w:val="none" w:sz="0" w:space="0" w:color="auto"/>
                        <w:left w:val="none" w:sz="0" w:space="0" w:color="auto"/>
                        <w:bottom w:val="none" w:sz="0" w:space="0" w:color="auto"/>
                        <w:right w:val="none" w:sz="0" w:space="0" w:color="auto"/>
                      </w:divBdr>
                    </w:div>
                    <w:div w:id="1870872491">
                      <w:marLeft w:val="0"/>
                      <w:marRight w:val="0"/>
                      <w:marTop w:val="0"/>
                      <w:marBottom w:val="0"/>
                      <w:divBdr>
                        <w:top w:val="single" w:sz="6" w:space="9" w:color="9FBCE1"/>
                        <w:left w:val="single" w:sz="6" w:space="9" w:color="9FBCE1"/>
                        <w:bottom w:val="single" w:sz="6" w:space="9" w:color="9FBCE1"/>
                        <w:right w:val="single" w:sz="6" w:space="9" w:color="9FBCE1"/>
                      </w:divBdr>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19262886">
      <w:bodyDiv w:val="1"/>
      <w:marLeft w:val="0"/>
      <w:marRight w:val="0"/>
      <w:marTop w:val="0"/>
      <w:marBottom w:val="0"/>
      <w:divBdr>
        <w:top w:val="none" w:sz="0" w:space="0" w:color="auto"/>
        <w:left w:val="none" w:sz="0" w:space="0" w:color="auto"/>
        <w:bottom w:val="none" w:sz="0" w:space="0" w:color="auto"/>
        <w:right w:val="none" w:sz="0" w:space="0" w:color="auto"/>
      </w:divBdr>
      <w:divsChild>
        <w:div w:id="382219202">
          <w:marLeft w:val="0"/>
          <w:marRight w:val="0"/>
          <w:marTop w:val="0"/>
          <w:marBottom w:val="150"/>
          <w:divBdr>
            <w:top w:val="none" w:sz="0" w:space="0" w:color="auto"/>
            <w:left w:val="none" w:sz="0" w:space="0" w:color="auto"/>
            <w:bottom w:val="none" w:sz="0" w:space="0" w:color="auto"/>
            <w:right w:val="none" w:sz="0" w:space="0" w:color="auto"/>
          </w:divBdr>
          <w:divsChild>
            <w:div w:id="751125085">
              <w:marLeft w:val="1260"/>
              <w:marRight w:val="0"/>
              <w:marTop w:val="0"/>
              <w:marBottom w:val="0"/>
              <w:divBdr>
                <w:top w:val="none" w:sz="0" w:space="0" w:color="auto"/>
                <w:left w:val="none" w:sz="0" w:space="0" w:color="auto"/>
                <w:bottom w:val="none" w:sz="0" w:space="0" w:color="auto"/>
                <w:right w:val="none" w:sz="0" w:space="0" w:color="auto"/>
              </w:divBdr>
              <w:divsChild>
                <w:div w:id="355544853">
                  <w:marLeft w:val="-180"/>
                  <w:marRight w:val="0"/>
                  <w:marTop w:val="0"/>
                  <w:marBottom w:val="0"/>
                  <w:divBdr>
                    <w:top w:val="none" w:sz="0" w:space="0" w:color="auto"/>
                    <w:left w:val="single" w:sz="18" w:space="7" w:color="487FC6"/>
                    <w:bottom w:val="none" w:sz="0" w:space="0" w:color="auto"/>
                    <w:right w:val="none" w:sz="0" w:space="0" w:color="auto"/>
                  </w:divBdr>
                </w:div>
                <w:div w:id="1788887496">
                  <w:marLeft w:val="750"/>
                  <w:marRight w:val="0"/>
                  <w:marTop w:val="180"/>
                  <w:marBottom w:val="240"/>
                  <w:divBdr>
                    <w:top w:val="none" w:sz="0" w:space="0" w:color="auto"/>
                    <w:left w:val="none" w:sz="0" w:space="0" w:color="auto"/>
                    <w:bottom w:val="none" w:sz="0" w:space="0" w:color="auto"/>
                    <w:right w:val="none" w:sz="0" w:space="0" w:color="auto"/>
                  </w:divBdr>
                  <w:divsChild>
                    <w:div w:id="106190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346063">
          <w:marLeft w:val="0"/>
          <w:marRight w:val="0"/>
          <w:marTop w:val="270"/>
          <w:marBottom w:val="210"/>
          <w:divBdr>
            <w:top w:val="none" w:sz="0" w:space="0" w:color="auto"/>
            <w:left w:val="none" w:sz="0" w:space="0" w:color="auto"/>
            <w:bottom w:val="none" w:sz="0" w:space="0" w:color="auto"/>
            <w:right w:val="none" w:sz="0" w:space="0" w:color="auto"/>
          </w:divBdr>
          <w:divsChild>
            <w:div w:id="1542129006">
              <w:marLeft w:val="1260"/>
              <w:marRight w:val="0"/>
              <w:marTop w:val="0"/>
              <w:marBottom w:val="210"/>
              <w:divBdr>
                <w:top w:val="none" w:sz="0" w:space="0" w:color="auto"/>
                <w:left w:val="none" w:sz="0" w:space="0" w:color="auto"/>
                <w:bottom w:val="none" w:sz="0" w:space="0" w:color="auto"/>
                <w:right w:val="none" w:sz="0" w:space="0" w:color="auto"/>
              </w:divBdr>
              <w:divsChild>
                <w:div w:id="1111894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257625">
          <w:marLeft w:val="0"/>
          <w:marRight w:val="0"/>
          <w:marTop w:val="0"/>
          <w:marBottom w:val="150"/>
          <w:divBdr>
            <w:top w:val="none" w:sz="0" w:space="0" w:color="auto"/>
            <w:left w:val="none" w:sz="0" w:space="0" w:color="auto"/>
            <w:bottom w:val="none" w:sz="0" w:space="0" w:color="auto"/>
            <w:right w:val="none" w:sz="0" w:space="0" w:color="auto"/>
          </w:divBdr>
          <w:divsChild>
            <w:div w:id="974680825">
              <w:marLeft w:val="1260"/>
              <w:marRight w:val="0"/>
              <w:marTop w:val="0"/>
              <w:marBottom w:val="0"/>
              <w:divBdr>
                <w:top w:val="none" w:sz="0" w:space="0" w:color="auto"/>
                <w:left w:val="none" w:sz="0" w:space="0" w:color="auto"/>
                <w:bottom w:val="none" w:sz="0" w:space="0" w:color="auto"/>
                <w:right w:val="none" w:sz="0" w:space="0" w:color="auto"/>
              </w:divBdr>
              <w:divsChild>
                <w:div w:id="1603561649">
                  <w:marLeft w:val="0"/>
                  <w:marRight w:val="0"/>
                  <w:marTop w:val="0"/>
                  <w:marBottom w:val="0"/>
                  <w:divBdr>
                    <w:top w:val="none" w:sz="0" w:space="0" w:color="auto"/>
                    <w:left w:val="none" w:sz="0" w:space="0" w:color="auto"/>
                    <w:bottom w:val="none" w:sz="0" w:space="0" w:color="auto"/>
                    <w:right w:val="none" w:sz="0" w:space="0" w:color="auto"/>
                  </w:divBdr>
                  <w:divsChild>
                    <w:div w:id="1264265412">
                      <w:marLeft w:val="0"/>
                      <w:marRight w:val="0"/>
                      <w:marTop w:val="0"/>
                      <w:marBottom w:val="0"/>
                      <w:divBdr>
                        <w:top w:val="none" w:sz="0" w:space="0" w:color="auto"/>
                        <w:left w:val="none" w:sz="0" w:space="0" w:color="auto"/>
                        <w:bottom w:val="none" w:sz="0" w:space="0" w:color="auto"/>
                        <w:right w:val="none" w:sz="0" w:space="0" w:color="auto"/>
                      </w:divBdr>
                    </w:div>
                    <w:div w:id="2083747874">
                      <w:marLeft w:val="0"/>
                      <w:marRight w:val="0"/>
                      <w:marTop w:val="0"/>
                      <w:marBottom w:val="0"/>
                      <w:divBdr>
                        <w:top w:val="none" w:sz="0" w:space="0" w:color="auto"/>
                        <w:left w:val="none" w:sz="0" w:space="0" w:color="auto"/>
                        <w:bottom w:val="none" w:sz="0" w:space="0" w:color="auto"/>
                        <w:right w:val="none" w:sz="0" w:space="0" w:color="auto"/>
                      </w:divBdr>
                    </w:div>
                  </w:divsChild>
                </w:div>
                <w:div w:id="1063062070">
                  <w:marLeft w:val="0"/>
                  <w:marRight w:val="0"/>
                  <w:marTop w:val="180"/>
                  <w:marBottom w:val="240"/>
                  <w:divBdr>
                    <w:top w:val="none" w:sz="0" w:space="0" w:color="auto"/>
                    <w:left w:val="none" w:sz="0" w:space="0" w:color="auto"/>
                    <w:bottom w:val="none" w:sz="0" w:space="0" w:color="auto"/>
                    <w:right w:val="none" w:sz="0" w:space="0" w:color="auto"/>
                  </w:divBdr>
                  <w:divsChild>
                    <w:div w:id="133718160">
                      <w:marLeft w:val="0"/>
                      <w:marRight w:val="0"/>
                      <w:marTop w:val="0"/>
                      <w:marBottom w:val="0"/>
                      <w:divBdr>
                        <w:top w:val="none" w:sz="0" w:space="0" w:color="auto"/>
                        <w:left w:val="none" w:sz="0" w:space="0" w:color="auto"/>
                        <w:bottom w:val="none" w:sz="0" w:space="0" w:color="auto"/>
                        <w:right w:val="none" w:sz="0" w:space="0" w:color="auto"/>
                      </w:divBdr>
                    </w:div>
                    <w:div w:id="192041771">
                      <w:marLeft w:val="0"/>
                      <w:marRight w:val="0"/>
                      <w:marTop w:val="0"/>
                      <w:marBottom w:val="0"/>
                      <w:divBdr>
                        <w:top w:val="single" w:sz="6" w:space="9" w:color="9FBCE1"/>
                        <w:left w:val="single" w:sz="6" w:space="9" w:color="9FBCE1"/>
                        <w:bottom w:val="single" w:sz="6" w:space="9" w:color="9FBCE1"/>
                        <w:right w:val="single" w:sz="6" w:space="9" w:color="9FBCE1"/>
                      </w:divBdr>
                    </w:div>
                  </w:divsChild>
                </w:div>
              </w:divsChild>
            </w:div>
          </w:divsChild>
        </w:div>
        <w:div w:id="1308971972">
          <w:marLeft w:val="0"/>
          <w:marRight w:val="0"/>
          <w:marTop w:val="270"/>
          <w:marBottom w:val="210"/>
          <w:divBdr>
            <w:top w:val="none" w:sz="0" w:space="0" w:color="auto"/>
            <w:left w:val="none" w:sz="0" w:space="0" w:color="auto"/>
            <w:bottom w:val="none" w:sz="0" w:space="0" w:color="auto"/>
            <w:right w:val="none" w:sz="0" w:space="0" w:color="auto"/>
          </w:divBdr>
          <w:divsChild>
            <w:div w:id="389496535">
              <w:marLeft w:val="1260"/>
              <w:marRight w:val="0"/>
              <w:marTop w:val="0"/>
              <w:marBottom w:val="210"/>
              <w:divBdr>
                <w:top w:val="none" w:sz="0" w:space="0" w:color="auto"/>
                <w:left w:val="none" w:sz="0" w:space="0" w:color="auto"/>
                <w:bottom w:val="none" w:sz="0" w:space="0" w:color="auto"/>
                <w:right w:val="none" w:sz="0" w:space="0" w:color="auto"/>
              </w:divBdr>
              <w:divsChild>
                <w:div w:id="4032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033571">
          <w:marLeft w:val="0"/>
          <w:marRight w:val="0"/>
          <w:marTop w:val="0"/>
          <w:marBottom w:val="150"/>
          <w:divBdr>
            <w:top w:val="none" w:sz="0" w:space="0" w:color="auto"/>
            <w:left w:val="none" w:sz="0" w:space="0" w:color="auto"/>
            <w:bottom w:val="none" w:sz="0" w:space="0" w:color="auto"/>
            <w:right w:val="none" w:sz="0" w:space="0" w:color="auto"/>
          </w:divBdr>
          <w:divsChild>
            <w:div w:id="2090611206">
              <w:marLeft w:val="1260"/>
              <w:marRight w:val="0"/>
              <w:marTop w:val="0"/>
              <w:marBottom w:val="0"/>
              <w:divBdr>
                <w:top w:val="none" w:sz="0" w:space="0" w:color="auto"/>
                <w:left w:val="none" w:sz="0" w:space="0" w:color="auto"/>
                <w:bottom w:val="none" w:sz="0" w:space="0" w:color="auto"/>
                <w:right w:val="none" w:sz="0" w:space="0" w:color="auto"/>
              </w:divBdr>
              <w:divsChild>
                <w:div w:id="947468178">
                  <w:marLeft w:val="-180"/>
                  <w:marRight w:val="0"/>
                  <w:marTop w:val="0"/>
                  <w:marBottom w:val="0"/>
                  <w:divBdr>
                    <w:top w:val="none" w:sz="0" w:space="0" w:color="auto"/>
                    <w:left w:val="single" w:sz="18" w:space="7" w:color="487FC6"/>
                    <w:bottom w:val="none" w:sz="0" w:space="0" w:color="auto"/>
                    <w:right w:val="none" w:sz="0" w:space="0" w:color="auto"/>
                  </w:divBdr>
                </w:div>
                <w:div w:id="1886789261">
                  <w:marLeft w:val="0"/>
                  <w:marRight w:val="0"/>
                  <w:marTop w:val="0"/>
                  <w:marBottom w:val="0"/>
                  <w:divBdr>
                    <w:top w:val="none" w:sz="0" w:space="0" w:color="auto"/>
                    <w:left w:val="none" w:sz="0" w:space="0" w:color="auto"/>
                    <w:bottom w:val="none" w:sz="0" w:space="0" w:color="auto"/>
                    <w:right w:val="none" w:sz="0" w:space="0" w:color="auto"/>
                  </w:divBdr>
                  <w:divsChild>
                    <w:div w:id="588078293">
                      <w:marLeft w:val="-180"/>
                      <w:marRight w:val="0"/>
                      <w:marTop w:val="0"/>
                      <w:marBottom w:val="0"/>
                      <w:divBdr>
                        <w:top w:val="none" w:sz="0" w:space="0" w:color="auto"/>
                        <w:left w:val="single" w:sz="18" w:space="7" w:color="487FC6"/>
                        <w:bottom w:val="none" w:sz="0" w:space="0" w:color="auto"/>
                        <w:right w:val="none" w:sz="0" w:space="0" w:color="auto"/>
                      </w:divBdr>
                      <w:divsChild>
                        <w:div w:id="6062046">
                          <w:marLeft w:val="0"/>
                          <w:marRight w:val="0"/>
                          <w:marTop w:val="0"/>
                          <w:marBottom w:val="0"/>
                          <w:divBdr>
                            <w:top w:val="none" w:sz="0" w:space="0" w:color="auto"/>
                            <w:left w:val="none" w:sz="0" w:space="0" w:color="auto"/>
                            <w:bottom w:val="none" w:sz="0" w:space="0" w:color="auto"/>
                            <w:right w:val="none" w:sz="0" w:space="0" w:color="auto"/>
                          </w:divBdr>
                        </w:div>
                      </w:divsChild>
                    </w:div>
                    <w:div w:id="1574392660">
                      <w:marLeft w:val="-180"/>
                      <w:marRight w:val="0"/>
                      <w:marTop w:val="0"/>
                      <w:marBottom w:val="0"/>
                      <w:divBdr>
                        <w:top w:val="none" w:sz="0" w:space="0" w:color="auto"/>
                        <w:left w:val="single" w:sz="18" w:space="7" w:color="487FC6"/>
                        <w:bottom w:val="none" w:sz="0" w:space="0" w:color="auto"/>
                        <w:right w:val="none" w:sz="0" w:space="0" w:color="auto"/>
                      </w:divBdr>
                      <w:divsChild>
                        <w:div w:id="185140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617139">
                  <w:marLeft w:val="0"/>
                  <w:marRight w:val="0"/>
                  <w:marTop w:val="180"/>
                  <w:marBottom w:val="240"/>
                  <w:divBdr>
                    <w:top w:val="none" w:sz="0" w:space="0" w:color="auto"/>
                    <w:left w:val="none" w:sz="0" w:space="0" w:color="auto"/>
                    <w:bottom w:val="none" w:sz="0" w:space="0" w:color="auto"/>
                    <w:right w:val="none" w:sz="0" w:space="0" w:color="auto"/>
                  </w:divBdr>
                  <w:divsChild>
                    <w:div w:id="286284072">
                      <w:marLeft w:val="0"/>
                      <w:marRight w:val="0"/>
                      <w:marTop w:val="0"/>
                      <w:marBottom w:val="0"/>
                      <w:divBdr>
                        <w:top w:val="none" w:sz="0" w:space="0" w:color="auto"/>
                        <w:left w:val="none" w:sz="0" w:space="0" w:color="auto"/>
                        <w:bottom w:val="none" w:sz="0" w:space="0" w:color="auto"/>
                        <w:right w:val="none" w:sz="0" w:space="0" w:color="auto"/>
                      </w:divBdr>
                    </w:div>
                    <w:div w:id="2112892588">
                      <w:marLeft w:val="0"/>
                      <w:marRight w:val="0"/>
                      <w:marTop w:val="0"/>
                      <w:marBottom w:val="0"/>
                      <w:divBdr>
                        <w:top w:val="single" w:sz="6" w:space="9" w:color="9FBCE1"/>
                        <w:left w:val="single" w:sz="6" w:space="9" w:color="9FBCE1"/>
                        <w:bottom w:val="single" w:sz="6" w:space="9" w:color="9FBCE1"/>
                        <w:right w:val="single" w:sz="6" w:space="9" w:color="9FBCE1"/>
                      </w:divBdr>
                    </w:div>
                  </w:divsChild>
                </w:div>
              </w:divsChild>
            </w:div>
          </w:divsChild>
        </w:div>
        <w:div w:id="987636706">
          <w:marLeft w:val="0"/>
          <w:marRight w:val="0"/>
          <w:marTop w:val="0"/>
          <w:marBottom w:val="150"/>
          <w:divBdr>
            <w:top w:val="none" w:sz="0" w:space="0" w:color="auto"/>
            <w:left w:val="none" w:sz="0" w:space="0" w:color="auto"/>
            <w:bottom w:val="none" w:sz="0" w:space="0" w:color="auto"/>
            <w:right w:val="none" w:sz="0" w:space="0" w:color="auto"/>
          </w:divBdr>
          <w:divsChild>
            <w:div w:id="500236419">
              <w:marLeft w:val="1260"/>
              <w:marRight w:val="0"/>
              <w:marTop w:val="0"/>
              <w:marBottom w:val="0"/>
              <w:divBdr>
                <w:top w:val="none" w:sz="0" w:space="0" w:color="auto"/>
                <w:left w:val="none" w:sz="0" w:space="0" w:color="auto"/>
                <w:bottom w:val="none" w:sz="0" w:space="0" w:color="auto"/>
                <w:right w:val="none" w:sz="0" w:space="0" w:color="auto"/>
              </w:divBdr>
              <w:divsChild>
                <w:div w:id="1203900102">
                  <w:marLeft w:val="0"/>
                  <w:marRight w:val="0"/>
                  <w:marTop w:val="0"/>
                  <w:marBottom w:val="0"/>
                  <w:divBdr>
                    <w:top w:val="none" w:sz="0" w:space="0" w:color="auto"/>
                    <w:left w:val="none" w:sz="0" w:space="0" w:color="auto"/>
                    <w:bottom w:val="none" w:sz="0" w:space="0" w:color="auto"/>
                    <w:right w:val="none" w:sz="0" w:space="0" w:color="auto"/>
                  </w:divBdr>
                  <w:divsChild>
                    <w:div w:id="1157838241">
                      <w:marLeft w:val="0"/>
                      <w:marRight w:val="0"/>
                      <w:marTop w:val="0"/>
                      <w:marBottom w:val="0"/>
                      <w:divBdr>
                        <w:top w:val="none" w:sz="0" w:space="0" w:color="auto"/>
                        <w:left w:val="none" w:sz="0" w:space="0" w:color="auto"/>
                        <w:bottom w:val="none" w:sz="0" w:space="0" w:color="auto"/>
                        <w:right w:val="none" w:sz="0" w:space="0" w:color="auto"/>
                      </w:divBdr>
                    </w:div>
                    <w:div w:id="1830051481">
                      <w:marLeft w:val="0"/>
                      <w:marRight w:val="0"/>
                      <w:marTop w:val="0"/>
                      <w:marBottom w:val="0"/>
                      <w:divBdr>
                        <w:top w:val="none" w:sz="0" w:space="0" w:color="auto"/>
                        <w:left w:val="none" w:sz="0" w:space="0" w:color="auto"/>
                        <w:bottom w:val="none" w:sz="0" w:space="0" w:color="auto"/>
                        <w:right w:val="none" w:sz="0" w:space="0" w:color="auto"/>
                      </w:divBdr>
                    </w:div>
                  </w:divsChild>
                </w:div>
                <w:div w:id="272323170">
                  <w:marLeft w:val="0"/>
                  <w:marRight w:val="0"/>
                  <w:marTop w:val="180"/>
                  <w:marBottom w:val="240"/>
                  <w:divBdr>
                    <w:top w:val="none" w:sz="0" w:space="0" w:color="auto"/>
                    <w:left w:val="none" w:sz="0" w:space="0" w:color="auto"/>
                    <w:bottom w:val="none" w:sz="0" w:space="0" w:color="auto"/>
                    <w:right w:val="none" w:sz="0" w:space="0" w:color="auto"/>
                  </w:divBdr>
                  <w:divsChild>
                    <w:div w:id="1566381101">
                      <w:marLeft w:val="0"/>
                      <w:marRight w:val="0"/>
                      <w:marTop w:val="0"/>
                      <w:marBottom w:val="0"/>
                      <w:divBdr>
                        <w:top w:val="none" w:sz="0" w:space="0" w:color="auto"/>
                        <w:left w:val="none" w:sz="0" w:space="0" w:color="auto"/>
                        <w:bottom w:val="none" w:sz="0" w:space="0" w:color="auto"/>
                        <w:right w:val="none" w:sz="0" w:space="0" w:color="auto"/>
                      </w:divBdr>
                    </w:div>
                    <w:div w:id="56051414">
                      <w:marLeft w:val="0"/>
                      <w:marRight w:val="0"/>
                      <w:marTop w:val="0"/>
                      <w:marBottom w:val="0"/>
                      <w:divBdr>
                        <w:top w:val="single" w:sz="6" w:space="9" w:color="9FBCE1"/>
                        <w:left w:val="single" w:sz="6" w:space="9" w:color="9FBCE1"/>
                        <w:bottom w:val="single" w:sz="6" w:space="9" w:color="9FBCE1"/>
                        <w:right w:val="single" w:sz="6" w:space="9" w:color="9FBCE1"/>
                      </w:divBdr>
                    </w:div>
                  </w:divsChild>
                </w:div>
              </w:divsChild>
            </w:div>
          </w:divsChild>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0612332">
      <w:bodyDiv w:val="1"/>
      <w:marLeft w:val="0"/>
      <w:marRight w:val="0"/>
      <w:marTop w:val="0"/>
      <w:marBottom w:val="0"/>
      <w:divBdr>
        <w:top w:val="none" w:sz="0" w:space="0" w:color="auto"/>
        <w:left w:val="none" w:sz="0" w:space="0" w:color="auto"/>
        <w:bottom w:val="none" w:sz="0" w:space="0" w:color="auto"/>
        <w:right w:val="none" w:sz="0" w:space="0" w:color="auto"/>
      </w:divBdr>
      <w:divsChild>
        <w:div w:id="364449170">
          <w:marLeft w:val="0"/>
          <w:marRight w:val="0"/>
          <w:marTop w:val="0"/>
          <w:marBottom w:val="150"/>
          <w:divBdr>
            <w:top w:val="none" w:sz="0" w:space="0" w:color="auto"/>
            <w:left w:val="none" w:sz="0" w:space="0" w:color="auto"/>
            <w:bottom w:val="none" w:sz="0" w:space="0" w:color="auto"/>
            <w:right w:val="none" w:sz="0" w:space="0" w:color="auto"/>
          </w:divBdr>
          <w:divsChild>
            <w:div w:id="280965197">
              <w:marLeft w:val="1260"/>
              <w:marRight w:val="0"/>
              <w:marTop w:val="0"/>
              <w:marBottom w:val="0"/>
              <w:divBdr>
                <w:top w:val="none" w:sz="0" w:space="0" w:color="auto"/>
                <w:left w:val="none" w:sz="0" w:space="0" w:color="auto"/>
                <w:bottom w:val="none" w:sz="0" w:space="0" w:color="auto"/>
                <w:right w:val="none" w:sz="0" w:space="0" w:color="auto"/>
              </w:divBdr>
            </w:div>
          </w:divsChild>
        </w:div>
        <w:div w:id="2047674846">
          <w:marLeft w:val="0"/>
          <w:marRight w:val="0"/>
          <w:marTop w:val="270"/>
          <w:marBottom w:val="210"/>
          <w:divBdr>
            <w:top w:val="none" w:sz="0" w:space="0" w:color="auto"/>
            <w:left w:val="none" w:sz="0" w:space="0" w:color="auto"/>
            <w:bottom w:val="none" w:sz="0" w:space="0" w:color="auto"/>
            <w:right w:val="none" w:sz="0" w:space="0" w:color="auto"/>
          </w:divBdr>
          <w:divsChild>
            <w:div w:id="1500736669">
              <w:marLeft w:val="1260"/>
              <w:marRight w:val="0"/>
              <w:marTop w:val="0"/>
              <w:marBottom w:val="210"/>
              <w:divBdr>
                <w:top w:val="none" w:sz="0" w:space="0" w:color="auto"/>
                <w:left w:val="none" w:sz="0" w:space="0" w:color="auto"/>
                <w:bottom w:val="none" w:sz="0" w:space="0" w:color="auto"/>
                <w:right w:val="none" w:sz="0" w:space="0" w:color="auto"/>
              </w:divBdr>
              <w:divsChild>
                <w:div w:id="77217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791900">
          <w:marLeft w:val="0"/>
          <w:marRight w:val="0"/>
          <w:marTop w:val="0"/>
          <w:marBottom w:val="150"/>
          <w:divBdr>
            <w:top w:val="none" w:sz="0" w:space="0" w:color="auto"/>
            <w:left w:val="none" w:sz="0" w:space="0" w:color="auto"/>
            <w:bottom w:val="none" w:sz="0" w:space="0" w:color="auto"/>
            <w:right w:val="none" w:sz="0" w:space="0" w:color="auto"/>
          </w:divBdr>
          <w:divsChild>
            <w:div w:id="499122388">
              <w:marLeft w:val="1260"/>
              <w:marRight w:val="0"/>
              <w:marTop w:val="0"/>
              <w:marBottom w:val="0"/>
              <w:divBdr>
                <w:top w:val="none" w:sz="0" w:space="0" w:color="auto"/>
                <w:left w:val="none" w:sz="0" w:space="0" w:color="auto"/>
                <w:bottom w:val="none" w:sz="0" w:space="0" w:color="auto"/>
                <w:right w:val="none" w:sz="0" w:space="0" w:color="auto"/>
              </w:divBdr>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507580">
      <w:bodyDiv w:val="1"/>
      <w:marLeft w:val="0"/>
      <w:marRight w:val="0"/>
      <w:marTop w:val="0"/>
      <w:marBottom w:val="0"/>
      <w:divBdr>
        <w:top w:val="none" w:sz="0" w:space="0" w:color="auto"/>
        <w:left w:val="none" w:sz="0" w:space="0" w:color="auto"/>
        <w:bottom w:val="none" w:sz="0" w:space="0" w:color="auto"/>
        <w:right w:val="none" w:sz="0" w:space="0" w:color="auto"/>
      </w:divBdr>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0982528">
      <w:bodyDiv w:val="1"/>
      <w:marLeft w:val="0"/>
      <w:marRight w:val="0"/>
      <w:marTop w:val="0"/>
      <w:marBottom w:val="0"/>
      <w:divBdr>
        <w:top w:val="none" w:sz="0" w:space="0" w:color="auto"/>
        <w:left w:val="none" w:sz="0" w:space="0" w:color="auto"/>
        <w:bottom w:val="none" w:sz="0" w:space="0" w:color="auto"/>
        <w:right w:val="none" w:sz="0" w:space="0" w:color="auto"/>
      </w:divBdr>
      <w:divsChild>
        <w:div w:id="1185753952">
          <w:marLeft w:val="0"/>
          <w:marRight w:val="0"/>
          <w:marTop w:val="0"/>
          <w:marBottom w:val="0"/>
          <w:divBdr>
            <w:top w:val="none" w:sz="0" w:space="0" w:color="auto"/>
            <w:left w:val="none" w:sz="0" w:space="0" w:color="auto"/>
            <w:bottom w:val="none" w:sz="0" w:space="0" w:color="auto"/>
            <w:right w:val="none" w:sz="0" w:space="0" w:color="auto"/>
          </w:divBdr>
          <w:divsChild>
            <w:div w:id="1036542171">
              <w:marLeft w:val="0"/>
              <w:marRight w:val="0"/>
              <w:marTop w:val="100"/>
              <w:marBottom w:val="100"/>
              <w:divBdr>
                <w:top w:val="none" w:sz="0" w:space="0" w:color="auto"/>
                <w:left w:val="none" w:sz="0" w:space="0" w:color="auto"/>
                <w:bottom w:val="none" w:sz="0" w:space="0" w:color="auto"/>
                <w:right w:val="none" w:sz="0" w:space="0" w:color="auto"/>
              </w:divBdr>
              <w:divsChild>
                <w:div w:id="688875085">
                  <w:marLeft w:val="0"/>
                  <w:marRight w:val="0"/>
                  <w:marTop w:val="0"/>
                  <w:marBottom w:val="0"/>
                  <w:divBdr>
                    <w:top w:val="none" w:sz="0" w:space="0" w:color="auto"/>
                    <w:left w:val="none" w:sz="0" w:space="0" w:color="auto"/>
                    <w:bottom w:val="none" w:sz="0" w:space="0" w:color="auto"/>
                    <w:right w:val="none" w:sz="0" w:space="0" w:color="auto"/>
                  </w:divBdr>
                  <w:divsChild>
                    <w:div w:id="1694769249">
                      <w:marLeft w:val="0"/>
                      <w:marRight w:val="0"/>
                      <w:marTop w:val="0"/>
                      <w:marBottom w:val="578"/>
                      <w:divBdr>
                        <w:top w:val="none" w:sz="0" w:space="0" w:color="auto"/>
                        <w:left w:val="none" w:sz="0" w:space="0" w:color="auto"/>
                        <w:bottom w:val="none" w:sz="0" w:space="0" w:color="auto"/>
                        <w:right w:val="none" w:sz="0" w:space="0" w:color="auto"/>
                      </w:divBdr>
                    </w:div>
                  </w:divsChild>
                </w:div>
              </w:divsChild>
            </w:div>
          </w:divsChild>
        </w:div>
        <w:div w:id="838929074">
          <w:marLeft w:val="0"/>
          <w:marRight w:val="0"/>
          <w:marTop w:val="0"/>
          <w:marBottom w:val="0"/>
          <w:divBdr>
            <w:top w:val="none" w:sz="0" w:space="0" w:color="auto"/>
            <w:left w:val="none" w:sz="0" w:space="0" w:color="auto"/>
            <w:bottom w:val="none" w:sz="0" w:space="0" w:color="auto"/>
            <w:right w:val="none" w:sz="0" w:space="0" w:color="auto"/>
          </w:divBdr>
          <w:divsChild>
            <w:div w:id="930360494">
              <w:marLeft w:val="0"/>
              <w:marRight w:val="0"/>
              <w:marTop w:val="100"/>
              <w:marBottom w:val="100"/>
              <w:divBdr>
                <w:top w:val="none" w:sz="0" w:space="0" w:color="auto"/>
                <w:left w:val="none" w:sz="0" w:space="0" w:color="auto"/>
                <w:bottom w:val="none" w:sz="0" w:space="0" w:color="auto"/>
                <w:right w:val="none" w:sz="0" w:space="0" w:color="auto"/>
              </w:divBdr>
              <w:divsChild>
                <w:div w:id="1288045323">
                  <w:marLeft w:val="0"/>
                  <w:marRight w:val="0"/>
                  <w:marTop w:val="0"/>
                  <w:marBottom w:val="0"/>
                  <w:divBdr>
                    <w:top w:val="none" w:sz="0" w:space="0" w:color="auto"/>
                    <w:left w:val="none" w:sz="0" w:space="0" w:color="auto"/>
                    <w:bottom w:val="none" w:sz="0" w:space="0" w:color="auto"/>
                    <w:right w:val="none" w:sz="0" w:space="0" w:color="auto"/>
                  </w:divBdr>
                  <w:divsChild>
                    <w:div w:id="481310025">
                      <w:marLeft w:val="0"/>
                      <w:marRight w:val="0"/>
                      <w:marTop w:val="0"/>
                      <w:marBottom w:val="578"/>
                      <w:divBdr>
                        <w:top w:val="none" w:sz="0" w:space="0" w:color="auto"/>
                        <w:left w:val="none" w:sz="0" w:space="0" w:color="auto"/>
                        <w:bottom w:val="none" w:sz="0" w:space="0" w:color="auto"/>
                        <w:right w:val="none" w:sz="0" w:space="0" w:color="auto"/>
                      </w:divBdr>
                    </w:div>
                  </w:divsChild>
                </w:div>
                <w:div w:id="718168803">
                  <w:marLeft w:val="0"/>
                  <w:marRight w:val="0"/>
                  <w:marTop w:val="0"/>
                  <w:marBottom w:val="578"/>
                  <w:divBdr>
                    <w:top w:val="none" w:sz="0" w:space="0" w:color="auto"/>
                    <w:left w:val="none" w:sz="0" w:space="0" w:color="auto"/>
                    <w:bottom w:val="none" w:sz="0" w:space="0" w:color="auto"/>
                    <w:right w:val="none" w:sz="0" w:space="0" w:color="auto"/>
                  </w:divBdr>
                  <w:divsChild>
                    <w:div w:id="149147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561886">
          <w:marLeft w:val="0"/>
          <w:marRight w:val="0"/>
          <w:marTop w:val="0"/>
          <w:marBottom w:val="0"/>
          <w:divBdr>
            <w:top w:val="none" w:sz="0" w:space="0" w:color="auto"/>
            <w:left w:val="none" w:sz="0" w:space="0" w:color="auto"/>
            <w:bottom w:val="none" w:sz="0" w:space="0" w:color="auto"/>
            <w:right w:val="none" w:sz="0" w:space="0" w:color="auto"/>
          </w:divBdr>
          <w:divsChild>
            <w:div w:id="507983133">
              <w:marLeft w:val="0"/>
              <w:marRight w:val="0"/>
              <w:marTop w:val="100"/>
              <w:marBottom w:val="100"/>
              <w:divBdr>
                <w:top w:val="none" w:sz="0" w:space="0" w:color="auto"/>
                <w:left w:val="none" w:sz="0" w:space="0" w:color="auto"/>
                <w:bottom w:val="none" w:sz="0" w:space="0" w:color="auto"/>
                <w:right w:val="none" w:sz="0" w:space="0" w:color="auto"/>
              </w:divBdr>
              <w:divsChild>
                <w:div w:id="1350909413">
                  <w:marLeft w:val="0"/>
                  <w:marRight w:val="0"/>
                  <w:marTop w:val="0"/>
                  <w:marBottom w:val="578"/>
                  <w:divBdr>
                    <w:top w:val="none" w:sz="0" w:space="0" w:color="auto"/>
                    <w:left w:val="none" w:sz="0" w:space="0" w:color="auto"/>
                    <w:bottom w:val="none" w:sz="0" w:space="0" w:color="auto"/>
                    <w:right w:val="none" w:sz="0" w:space="0" w:color="auto"/>
                  </w:divBdr>
                  <w:divsChild>
                    <w:div w:id="155334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054782">
          <w:marLeft w:val="0"/>
          <w:marRight w:val="0"/>
          <w:marTop w:val="0"/>
          <w:marBottom w:val="0"/>
          <w:divBdr>
            <w:top w:val="none" w:sz="0" w:space="0" w:color="auto"/>
            <w:left w:val="none" w:sz="0" w:space="0" w:color="auto"/>
            <w:bottom w:val="none" w:sz="0" w:space="0" w:color="auto"/>
            <w:right w:val="none" w:sz="0" w:space="0" w:color="auto"/>
          </w:divBdr>
          <w:divsChild>
            <w:div w:id="902443607">
              <w:marLeft w:val="0"/>
              <w:marRight w:val="0"/>
              <w:marTop w:val="100"/>
              <w:marBottom w:val="100"/>
              <w:divBdr>
                <w:top w:val="none" w:sz="0" w:space="0" w:color="auto"/>
                <w:left w:val="none" w:sz="0" w:space="0" w:color="auto"/>
                <w:bottom w:val="none" w:sz="0" w:space="0" w:color="auto"/>
                <w:right w:val="none" w:sz="0" w:space="0" w:color="auto"/>
              </w:divBdr>
              <w:divsChild>
                <w:div w:id="2037076017">
                  <w:marLeft w:val="0"/>
                  <w:marRight w:val="0"/>
                  <w:marTop w:val="0"/>
                  <w:marBottom w:val="578"/>
                  <w:divBdr>
                    <w:top w:val="none" w:sz="0" w:space="0" w:color="auto"/>
                    <w:left w:val="none" w:sz="0" w:space="0" w:color="auto"/>
                    <w:bottom w:val="none" w:sz="0" w:space="0" w:color="auto"/>
                    <w:right w:val="none" w:sz="0" w:space="0" w:color="auto"/>
                  </w:divBdr>
                  <w:divsChild>
                    <w:div w:id="1580750774">
                      <w:marLeft w:val="0"/>
                      <w:marRight w:val="0"/>
                      <w:marTop w:val="0"/>
                      <w:marBottom w:val="0"/>
                      <w:divBdr>
                        <w:top w:val="none" w:sz="0" w:space="0" w:color="auto"/>
                        <w:left w:val="none" w:sz="0" w:space="0" w:color="auto"/>
                        <w:bottom w:val="none" w:sz="0" w:space="0" w:color="auto"/>
                        <w:right w:val="none" w:sz="0" w:space="0" w:color="auto"/>
                      </w:divBdr>
                    </w:div>
                  </w:divsChild>
                </w:div>
                <w:div w:id="113446536">
                  <w:marLeft w:val="0"/>
                  <w:marRight w:val="0"/>
                  <w:marTop w:val="0"/>
                  <w:marBottom w:val="578"/>
                  <w:divBdr>
                    <w:top w:val="none" w:sz="0" w:space="0" w:color="auto"/>
                    <w:left w:val="none" w:sz="0" w:space="0" w:color="auto"/>
                    <w:bottom w:val="none" w:sz="0" w:space="0" w:color="auto"/>
                    <w:right w:val="none" w:sz="0" w:space="0" w:color="auto"/>
                  </w:divBdr>
                </w:div>
                <w:div w:id="1915509714">
                  <w:marLeft w:val="0"/>
                  <w:marRight w:val="0"/>
                  <w:marTop w:val="0"/>
                  <w:marBottom w:val="578"/>
                  <w:divBdr>
                    <w:top w:val="none" w:sz="0" w:space="0" w:color="auto"/>
                    <w:left w:val="none" w:sz="0" w:space="0" w:color="auto"/>
                    <w:bottom w:val="none" w:sz="0" w:space="0" w:color="auto"/>
                    <w:right w:val="none" w:sz="0" w:space="0" w:color="auto"/>
                  </w:divBdr>
                  <w:divsChild>
                    <w:div w:id="19562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676261">
          <w:marLeft w:val="0"/>
          <w:marRight w:val="0"/>
          <w:marTop w:val="0"/>
          <w:marBottom w:val="0"/>
          <w:divBdr>
            <w:top w:val="none" w:sz="0" w:space="0" w:color="auto"/>
            <w:left w:val="none" w:sz="0" w:space="0" w:color="auto"/>
            <w:bottom w:val="none" w:sz="0" w:space="0" w:color="auto"/>
            <w:right w:val="none" w:sz="0" w:space="0" w:color="auto"/>
          </w:divBdr>
          <w:divsChild>
            <w:div w:id="258023704">
              <w:marLeft w:val="0"/>
              <w:marRight w:val="0"/>
              <w:marTop w:val="100"/>
              <w:marBottom w:val="100"/>
              <w:divBdr>
                <w:top w:val="none" w:sz="0" w:space="0" w:color="auto"/>
                <w:left w:val="none" w:sz="0" w:space="0" w:color="auto"/>
                <w:bottom w:val="none" w:sz="0" w:space="0" w:color="auto"/>
                <w:right w:val="none" w:sz="0" w:space="0" w:color="auto"/>
              </w:divBdr>
              <w:divsChild>
                <w:div w:id="1487625927">
                  <w:marLeft w:val="0"/>
                  <w:marRight w:val="0"/>
                  <w:marTop w:val="0"/>
                  <w:marBottom w:val="0"/>
                  <w:divBdr>
                    <w:top w:val="none" w:sz="0" w:space="0" w:color="auto"/>
                    <w:left w:val="none" w:sz="0" w:space="0" w:color="auto"/>
                    <w:bottom w:val="none" w:sz="0" w:space="0" w:color="auto"/>
                    <w:right w:val="none" w:sz="0" w:space="0" w:color="auto"/>
                  </w:divBdr>
                  <w:divsChild>
                    <w:div w:id="819465209">
                      <w:marLeft w:val="0"/>
                      <w:marRight w:val="0"/>
                      <w:marTop w:val="0"/>
                      <w:marBottom w:val="578"/>
                      <w:divBdr>
                        <w:top w:val="none" w:sz="0" w:space="0" w:color="auto"/>
                        <w:left w:val="none" w:sz="0" w:space="0" w:color="auto"/>
                        <w:bottom w:val="none" w:sz="0" w:space="0" w:color="auto"/>
                        <w:right w:val="none" w:sz="0" w:space="0" w:color="auto"/>
                      </w:divBdr>
                      <w:divsChild>
                        <w:div w:id="16479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6734042">
          <w:marLeft w:val="0"/>
          <w:marRight w:val="0"/>
          <w:marTop w:val="0"/>
          <w:marBottom w:val="0"/>
          <w:divBdr>
            <w:top w:val="none" w:sz="0" w:space="0" w:color="auto"/>
            <w:left w:val="none" w:sz="0" w:space="0" w:color="auto"/>
            <w:bottom w:val="none" w:sz="0" w:space="0" w:color="auto"/>
            <w:right w:val="none" w:sz="0" w:space="0" w:color="auto"/>
          </w:divBdr>
          <w:divsChild>
            <w:div w:id="1467579806">
              <w:marLeft w:val="0"/>
              <w:marRight w:val="0"/>
              <w:marTop w:val="100"/>
              <w:marBottom w:val="100"/>
              <w:divBdr>
                <w:top w:val="none" w:sz="0" w:space="0" w:color="auto"/>
                <w:left w:val="none" w:sz="0" w:space="0" w:color="auto"/>
                <w:bottom w:val="none" w:sz="0" w:space="0" w:color="auto"/>
                <w:right w:val="none" w:sz="0" w:space="0" w:color="auto"/>
              </w:divBdr>
              <w:divsChild>
                <w:div w:id="389966270">
                  <w:marLeft w:val="0"/>
                  <w:marRight w:val="0"/>
                  <w:marTop w:val="0"/>
                  <w:marBottom w:val="0"/>
                  <w:divBdr>
                    <w:top w:val="none" w:sz="0" w:space="0" w:color="auto"/>
                    <w:left w:val="none" w:sz="0" w:space="0" w:color="auto"/>
                    <w:bottom w:val="none" w:sz="0" w:space="0" w:color="auto"/>
                    <w:right w:val="none" w:sz="0" w:space="0" w:color="auto"/>
                  </w:divBdr>
                  <w:divsChild>
                    <w:div w:id="400326038">
                      <w:marLeft w:val="0"/>
                      <w:marRight w:val="0"/>
                      <w:marTop w:val="0"/>
                      <w:marBottom w:val="578"/>
                      <w:divBdr>
                        <w:top w:val="none" w:sz="0" w:space="0" w:color="auto"/>
                        <w:left w:val="none" w:sz="0" w:space="0" w:color="auto"/>
                        <w:bottom w:val="none" w:sz="0" w:space="0" w:color="auto"/>
                        <w:right w:val="none" w:sz="0" w:space="0" w:color="auto"/>
                      </w:divBdr>
                      <w:divsChild>
                        <w:div w:id="63722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46533">
          <w:marLeft w:val="0"/>
          <w:marRight w:val="0"/>
          <w:marTop w:val="0"/>
          <w:marBottom w:val="0"/>
          <w:divBdr>
            <w:top w:val="none" w:sz="0" w:space="0" w:color="auto"/>
            <w:left w:val="none" w:sz="0" w:space="0" w:color="auto"/>
            <w:bottom w:val="none" w:sz="0" w:space="0" w:color="auto"/>
            <w:right w:val="none" w:sz="0" w:space="0" w:color="auto"/>
          </w:divBdr>
          <w:divsChild>
            <w:div w:id="1041974700">
              <w:marLeft w:val="0"/>
              <w:marRight w:val="0"/>
              <w:marTop w:val="100"/>
              <w:marBottom w:val="100"/>
              <w:divBdr>
                <w:top w:val="none" w:sz="0" w:space="0" w:color="auto"/>
                <w:left w:val="none" w:sz="0" w:space="0" w:color="auto"/>
                <w:bottom w:val="none" w:sz="0" w:space="0" w:color="auto"/>
                <w:right w:val="none" w:sz="0" w:space="0" w:color="auto"/>
              </w:divBdr>
              <w:divsChild>
                <w:div w:id="1766923488">
                  <w:marLeft w:val="0"/>
                  <w:marRight w:val="0"/>
                  <w:marTop w:val="0"/>
                  <w:marBottom w:val="0"/>
                  <w:divBdr>
                    <w:top w:val="none" w:sz="0" w:space="0" w:color="auto"/>
                    <w:left w:val="none" w:sz="0" w:space="0" w:color="auto"/>
                    <w:bottom w:val="none" w:sz="0" w:space="0" w:color="auto"/>
                    <w:right w:val="none" w:sz="0" w:space="0" w:color="auto"/>
                  </w:divBdr>
                  <w:divsChild>
                    <w:div w:id="1188830413">
                      <w:marLeft w:val="0"/>
                      <w:marRight w:val="0"/>
                      <w:marTop w:val="0"/>
                      <w:marBottom w:val="578"/>
                      <w:divBdr>
                        <w:top w:val="none" w:sz="0" w:space="0" w:color="auto"/>
                        <w:left w:val="none" w:sz="0" w:space="0" w:color="auto"/>
                        <w:bottom w:val="none" w:sz="0" w:space="0" w:color="auto"/>
                        <w:right w:val="none" w:sz="0" w:space="0" w:color="auto"/>
                      </w:divBdr>
                      <w:divsChild>
                        <w:div w:id="1080563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877117">
          <w:marLeft w:val="0"/>
          <w:marRight w:val="0"/>
          <w:marTop w:val="0"/>
          <w:marBottom w:val="0"/>
          <w:divBdr>
            <w:top w:val="none" w:sz="0" w:space="0" w:color="auto"/>
            <w:left w:val="none" w:sz="0" w:space="0" w:color="auto"/>
            <w:bottom w:val="none" w:sz="0" w:space="0" w:color="auto"/>
            <w:right w:val="none" w:sz="0" w:space="0" w:color="auto"/>
          </w:divBdr>
          <w:divsChild>
            <w:div w:id="1136491148">
              <w:marLeft w:val="0"/>
              <w:marRight w:val="0"/>
              <w:marTop w:val="100"/>
              <w:marBottom w:val="100"/>
              <w:divBdr>
                <w:top w:val="none" w:sz="0" w:space="0" w:color="auto"/>
                <w:left w:val="none" w:sz="0" w:space="0" w:color="auto"/>
                <w:bottom w:val="none" w:sz="0" w:space="0" w:color="auto"/>
                <w:right w:val="none" w:sz="0" w:space="0" w:color="auto"/>
              </w:divBdr>
              <w:divsChild>
                <w:div w:id="57293132">
                  <w:marLeft w:val="0"/>
                  <w:marRight w:val="0"/>
                  <w:marTop w:val="0"/>
                  <w:marBottom w:val="0"/>
                  <w:divBdr>
                    <w:top w:val="none" w:sz="0" w:space="0" w:color="auto"/>
                    <w:left w:val="none" w:sz="0" w:space="0" w:color="auto"/>
                    <w:bottom w:val="none" w:sz="0" w:space="0" w:color="auto"/>
                    <w:right w:val="none" w:sz="0" w:space="0" w:color="auto"/>
                  </w:divBdr>
                  <w:divsChild>
                    <w:div w:id="1240560860">
                      <w:marLeft w:val="0"/>
                      <w:marRight w:val="0"/>
                      <w:marTop w:val="0"/>
                      <w:marBottom w:val="578"/>
                      <w:divBdr>
                        <w:top w:val="none" w:sz="0" w:space="0" w:color="auto"/>
                        <w:left w:val="none" w:sz="0" w:space="0" w:color="auto"/>
                        <w:bottom w:val="none" w:sz="0" w:space="0" w:color="auto"/>
                        <w:right w:val="none" w:sz="0" w:space="0" w:color="auto"/>
                      </w:divBdr>
                      <w:divsChild>
                        <w:div w:id="2119787906">
                          <w:marLeft w:val="0"/>
                          <w:marRight w:val="0"/>
                          <w:marTop w:val="0"/>
                          <w:marBottom w:val="0"/>
                          <w:divBdr>
                            <w:top w:val="none" w:sz="0" w:space="0" w:color="auto"/>
                            <w:left w:val="none" w:sz="0" w:space="0" w:color="auto"/>
                            <w:bottom w:val="none" w:sz="0" w:space="0" w:color="auto"/>
                            <w:right w:val="none" w:sz="0" w:space="0" w:color="auto"/>
                          </w:divBdr>
                        </w:div>
                      </w:divsChild>
                    </w:div>
                    <w:div w:id="492335319">
                      <w:marLeft w:val="0"/>
                      <w:marRight w:val="0"/>
                      <w:marTop w:val="0"/>
                      <w:marBottom w:val="578"/>
                      <w:divBdr>
                        <w:top w:val="none" w:sz="0" w:space="0" w:color="auto"/>
                        <w:left w:val="none" w:sz="0" w:space="0" w:color="auto"/>
                        <w:bottom w:val="none" w:sz="0" w:space="0" w:color="auto"/>
                        <w:right w:val="none" w:sz="0" w:space="0" w:color="auto"/>
                      </w:divBdr>
                      <w:divsChild>
                        <w:div w:id="1057096556">
                          <w:marLeft w:val="0"/>
                          <w:marRight w:val="0"/>
                          <w:marTop w:val="0"/>
                          <w:marBottom w:val="0"/>
                          <w:divBdr>
                            <w:top w:val="none" w:sz="0" w:space="0" w:color="auto"/>
                            <w:left w:val="none" w:sz="0" w:space="0" w:color="auto"/>
                            <w:bottom w:val="none" w:sz="0" w:space="0" w:color="auto"/>
                            <w:right w:val="none" w:sz="0" w:space="0" w:color="auto"/>
                          </w:divBdr>
                        </w:div>
                        <w:div w:id="35391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105169">
          <w:marLeft w:val="0"/>
          <w:marRight w:val="0"/>
          <w:marTop w:val="0"/>
          <w:marBottom w:val="0"/>
          <w:divBdr>
            <w:top w:val="none" w:sz="0" w:space="0" w:color="auto"/>
            <w:left w:val="none" w:sz="0" w:space="0" w:color="auto"/>
            <w:bottom w:val="none" w:sz="0" w:space="0" w:color="auto"/>
            <w:right w:val="none" w:sz="0" w:space="0" w:color="auto"/>
          </w:divBdr>
          <w:divsChild>
            <w:div w:id="1899167997">
              <w:marLeft w:val="0"/>
              <w:marRight w:val="0"/>
              <w:marTop w:val="100"/>
              <w:marBottom w:val="100"/>
              <w:divBdr>
                <w:top w:val="none" w:sz="0" w:space="0" w:color="auto"/>
                <w:left w:val="none" w:sz="0" w:space="0" w:color="auto"/>
                <w:bottom w:val="none" w:sz="0" w:space="0" w:color="auto"/>
                <w:right w:val="none" w:sz="0" w:space="0" w:color="auto"/>
              </w:divBdr>
              <w:divsChild>
                <w:div w:id="1195121445">
                  <w:marLeft w:val="0"/>
                  <w:marRight w:val="0"/>
                  <w:marTop w:val="0"/>
                  <w:marBottom w:val="0"/>
                  <w:divBdr>
                    <w:top w:val="none" w:sz="0" w:space="0" w:color="auto"/>
                    <w:left w:val="none" w:sz="0" w:space="0" w:color="auto"/>
                    <w:bottom w:val="none" w:sz="0" w:space="0" w:color="auto"/>
                    <w:right w:val="none" w:sz="0" w:space="0" w:color="auto"/>
                  </w:divBdr>
                  <w:divsChild>
                    <w:div w:id="190609302">
                      <w:marLeft w:val="0"/>
                      <w:marRight w:val="0"/>
                      <w:marTop w:val="0"/>
                      <w:marBottom w:val="578"/>
                      <w:divBdr>
                        <w:top w:val="none" w:sz="0" w:space="0" w:color="auto"/>
                        <w:left w:val="none" w:sz="0" w:space="0" w:color="auto"/>
                        <w:bottom w:val="none" w:sz="0" w:space="0" w:color="auto"/>
                        <w:right w:val="none" w:sz="0" w:space="0" w:color="auto"/>
                      </w:divBdr>
                      <w:divsChild>
                        <w:div w:id="1637560640">
                          <w:marLeft w:val="0"/>
                          <w:marRight w:val="0"/>
                          <w:marTop w:val="0"/>
                          <w:marBottom w:val="0"/>
                          <w:divBdr>
                            <w:top w:val="none" w:sz="0" w:space="0" w:color="auto"/>
                            <w:left w:val="none" w:sz="0" w:space="0" w:color="auto"/>
                            <w:bottom w:val="none" w:sz="0" w:space="0" w:color="auto"/>
                            <w:right w:val="none" w:sz="0" w:space="0" w:color="auto"/>
                          </w:divBdr>
                          <w:divsChild>
                            <w:div w:id="106838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731931">
                      <w:marLeft w:val="0"/>
                      <w:marRight w:val="0"/>
                      <w:marTop w:val="0"/>
                      <w:marBottom w:val="578"/>
                      <w:divBdr>
                        <w:top w:val="none" w:sz="0" w:space="0" w:color="auto"/>
                        <w:left w:val="none" w:sz="0" w:space="0" w:color="auto"/>
                        <w:bottom w:val="none" w:sz="0" w:space="0" w:color="auto"/>
                        <w:right w:val="none" w:sz="0" w:space="0" w:color="auto"/>
                      </w:divBdr>
                      <w:divsChild>
                        <w:div w:id="141177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301814">
          <w:marLeft w:val="0"/>
          <w:marRight w:val="0"/>
          <w:marTop w:val="0"/>
          <w:marBottom w:val="0"/>
          <w:divBdr>
            <w:top w:val="none" w:sz="0" w:space="0" w:color="auto"/>
            <w:left w:val="none" w:sz="0" w:space="0" w:color="auto"/>
            <w:bottom w:val="none" w:sz="0" w:space="0" w:color="auto"/>
            <w:right w:val="none" w:sz="0" w:space="0" w:color="auto"/>
          </w:divBdr>
          <w:divsChild>
            <w:div w:id="2053922010">
              <w:marLeft w:val="0"/>
              <w:marRight w:val="0"/>
              <w:marTop w:val="100"/>
              <w:marBottom w:val="100"/>
              <w:divBdr>
                <w:top w:val="none" w:sz="0" w:space="0" w:color="auto"/>
                <w:left w:val="none" w:sz="0" w:space="0" w:color="auto"/>
                <w:bottom w:val="none" w:sz="0" w:space="0" w:color="auto"/>
                <w:right w:val="none" w:sz="0" w:space="0" w:color="auto"/>
              </w:divBdr>
              <w:divsChild>
                <w:div w:id="1075929551">
                  <w:marLeft w:val="0"/>
                  <w:marRight w:val="0"/>
                  <w:marTop w:val="0"/>
                  <w:marBottom w:val="0"/>
                  <w:divBdr>
                    <w:top w:val="none" w:sz="0" w:space="0" w:color="auto"/>
                    <w:left w:val="none" w:sz="0" w:space="0" w:color="auto"/>
                    <w:bottom w:val="none" w:sz="0" w:space="0" w:color="auto"/>
                    <w:right w:val="none" w:sz="0" w:space="0" w:color="auto"/>
                  </w:divBdr>
                  <w:divsChild>
                    <w:div w:id="1763792972">
                      <w:marLeft w:val="0"/>
                      <w:marRight w:val="0"/>
                      <w:marTop w:val="0"/>
                      <w:marBottom w:val="578"/>
                      <w:divBdr>
                        <w:top w:val="none" w:sz="0" w:space="0" w:color="auto"/>
                        <w:left w:val="none" w:sz="0" w:space="0" w:color="auto"/>
                        <w:bottom w:val="none" w:sz="0" w:space="0" w:color="auto"/>
                        <w:right w:val="none" w:sz="0" w:space="0" w:color="auto"/>
                      </w:divBdr>
                      <w:divsChild>
                        <w:div w:id="34434645">
                          <w:marLeft w:val="0"/>
                          <w:marRight w:val="0"/>
                          <w:marTop w:val="0"/>
                          <w:marBottom w:val="0"/>
                          <w:divBdr>
                            <w:top w:val="none" w:sz="0" w:space="0" w:color="auto"/>
                            <w:left w:val="none" w:sz="0" w:space="0" w:color="auto"/>
                            <w:bottom w:val="none" w:sz="0" w:space="0" w:color="auto"/>
                            <w:right w:val="none" w:sz="0" w:space="0" w:color="auto"/>
                          </w:divBdr>
                        </w:div>
                        <w:div w:id="1809857166">
                          <w:marLeft w:val="0"/>
                          <w:marRight w:val="0"/>
                          <w:marTop w:val="0"/>
                          <w:marBottom w:val="0"/>
                          <w:divBdr>
                            <w:top w:val="none" w:sz="0" w:space="0" w:color="auto"/>
                            <w:left w:val="none" w:sz="0" w:space="0" w:color="auto"/>
                            <w:bottom w:val="none" w:sz="0" w:space="0" w:color="auto"/>
                            <w:right w:val="none" w:sz="0" w:space="0" w:color="auto"/>
                          </w:divBdr>
                        </w:div>
                      </w:divsChild>
                    </w:div>
                    <w:div w:id="454524845">
                      <w:marLeft w:val="0"/>
                      <w:marRight w:val="0"/>
                      <w:marTop w:val="0"/>
                      <w:marBottom w:val="578"/>
                      <w:divBdr>
                        <w:top w:val="none" w:sz="0" w:space="0" w:color="auto"/>
                        <w:left w:val="none" w:sz="0" w:space="0" w:color="auto"/>
                        <w:bottom w:val="none" w:sz="0" w:space="0" w:color="auto"/>
                        <w:right w:val="none" w:sz="0" w:space="0" w:color="auto"/>
                      </w:divBdr>
                      <w:divsChild>
                        <w:div w:id="1108543603">
                          <w:marLeft w:val="0"/>
                          <w:marRight w:val="0"/>
                          <w:marTop w:val="0"/>
                          <w:marBottom w:val="0"/>
                          <w:divBdr>
                            <w:top w:val="none" w:sz="0" w:space="0" w:color="auto"/>
                            <w:left w:val="none" w:sz="0" w:space="0" w:color="auto"/>
                            <w:bottom w:val="none" w:sz="0" w:space="0" w:color="auto"/>
                            <w:right w:val="none" w:sz="0" w:space="0" w:color="auto"/>
                          </w:divBdr>
                        </w:div>
                      </w:divsChild>
                    </w:div>
                    <w:div w:id="138696123">
                      <w:marLeft w:val="0"/>
                      <w:marRight w:val="0"/>
                      <w:marTop w:val="0"/>
                      <w:marBottom w:val="578"/>
                      <w:divBdr>
                        <w:top w:val="none" w:sz="0" w:space="0" w:color="auto"/>
                        <w:left w:val="none" w:sz="0" w:space="0" w:color="auto"/>
                        <w:bottom w:val="none" w:sz="0" w:space="0" w:color="auto"/>
                        <w:right w:val="none" w:sz="0" w:space="0" w:color="auto"/>
                      </w:divBdr>
                      <w:divsChild>
                        <w:div w:id="981734061">
                          <w:marLeft w:val="0"/>
                          <w:marRight w:val="0"/>
                          <w:marTop w:val="0"/>
                          <w:marBottom w:val="0"/>
                          <w:divBdr>
                            <w:top w:val="none" w:sz="0" w:space="0" w:color="auto"/>
                            <w:left w:val="none" w:sz="0" w:space="0" w:color="auto"/>
                            <w:bottom w:val="none" w:sz="0" w:space="0" w:color="auto"/>
                            <w:right w:val="none" w:sz="0" w:space="0" w:color="auto"/>
                          </w:divBdr>
                        </w:div>
                      </w:divsChild>
                    </w:div>
                    <w:div w:id="363865680">
                      <w:marLeft w:val="0"/>
                      <w:marRight w:val="0"/>
                      <w:marTop w:val="0"/>
                      <w:marBottom w:val="578"/>
                      <w:divBdr>
                        <w:top w:val="none" w:sz="0" w:space="0" w:color="auto"/>
                        <w:left w:val="none" w:sz="0" w:space="0" w:color="auto"/>
                        <w:bottom w:val="none" w:sz="0" w:space="0" w:color="auto"/>
                        <w:right w:val="none" w:sz="0" w:space="0" w:color="auto"/>
                      </w:divBdr>
                    </w:div>
                    <w:div w:id="1477994975">
                      <w:marLeft w:val="0"/>
                      <w:marRight w:val="0"/>
                      <w:marTop w:val="0"/>
                      <w:marBottom w:val="578"/>
                      <w:divBdr>
                        <w:top w:val="none" w:sz="0" w:space="0" w:color="auto"/>
                        <w:left w:val="none" w:sz="0" w:space="0" w:color="auto"/>
                        <w:bottom w:val="none" w:sz="0" w:space="0" w:color="auto"/>
                        <w:right w:val="none" w:sz="0" w:space="0" w:color="auto"/>
                      </w:divBdr>
                      <w:divsChild>
                        <w:div w:id="27089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179343">
          <w:marLeft w:val="0"/>
          <w:marRight w:val="0"/>
          <w:marTop w:val="0"/>
          <w:marBottom w:val="0"/>
          <w:divBdr>
            <w:top w:val="none" w:sz="0" w:space="0" w:color="auto"/>
            <w:left w:val="none" w:sz="0" w:space="0" w:color="auto"/>
            <w:bottom w:val="none" w:sz="0" w:space="0" w:color="auto"/>
            <w:right w:val="none" w:sz="0" w:space="0" w:color="auto"/>
          </w:divBdr>
          <w:divsChild>
            <w:div w:id="1769502385">
              <w:marLeft w:val="0"/>
              <w:marRight w:val="0"/>
              <w:marTop w:val="100"/>
              <w:marBottom w:val="100"/>
              <w:divBdr>
                <w:top w:val="none" w:sz="0" w:space="0" w:color="auto"/>
                <w:left w:val="none" w:sz="0" w:space="0" w:color="auto"/>
                <w:bottom w:val="none" w:sz="0" w:space="0" w:color="auto"/>
                <w:right w:val="none" w:sz="0" w:space="0" w:color="auto"/>
              </w:divBdr>
              <w:divsChild>
                <w:div w:id="555702628">
                  <w:marLeft w:val="0"/>
                  <w:marRight w:val="0"/>
                  <w:marTop w:val="0"/>
                  <w:marBottom w:val="0"/>
                  <w:divBdr>
                    <w:top w:val="none" w:sz="0" w:space="0" w:color="auto"/>
                    <w:left w:val="none" w:sz="0" w:space="0" w:color="auto"/>
                    <w:bottom w:val="none" w:sz="0" w:space="0" w:color="auto"/>
                    <w:right w:val="none" w:sz="0" w:space="0" w:color="auto"/>
                  </w:divBdr>
                  <w:divsChild>
                    <w:div w:id="316305133">
                      <w:marLeft w:val="0"/>
                      <w:marRight w:val="0"/>
                      <w:marTop w:val="0"/>
                      <w:marBottom w:val="578"/>
                      <w:divBdr>
                        <w:top w:val="none" w:sz="0" w:space="0" w:color="auto"/>
                        <w:left w:val="none" w:sz="0" w:space="0" w:color="auto"/>
                        <w:bottom w:val="none" w:sz="0" w:space="0" w:color="auto"/>
                        <w:right w:val="none" w:sz="0" w:space="0" w:color="auto"/>
                      </w:divBdr>
                      <w:divsChild>
                        <w:div w:id="35311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572109598">
      <w:bodyDiv w:val="1"/>
      <w:marLeft w:val="0"/>
      <w:marRight w:val="0"/>
      <w:marTop w:val="0"/>
      <w:marBottom w:val="0"/>
      <w:divBdr>
        <w:top w:val="none" w:sz="0" w:space="0" w:color="auto"/>
        <w:left w:val="none" w:sz="0" w:space="0" w:color="auto"/>
        <w:bottom w:val="none" w:sz="0" w:space="0" w:color="auto"/>
        <w:right w:val="none" w:sz="0" w:space="0" w:color="auto"/>
      </w:divBdr>
    </w:div>
    <w:div w:id="1765300812">
      <w:bodyDiv w:val="1"/>
      <w:marLeft w:val="0"/>
      <w:marRight w:val="0"/>
      <w:marTop w:val="0"/>
      <w:marBottom w:val="0"/>
      <w:divBdr>
        <w:top w:val="none" w:sz="0" w:space="0" w:color="auto"/>
        <w:left w:val="none" w:sz="0" w:space="0" w:color="auto"/>
        <w:bottom w:val="none" w:sz="0" w:space="0" w:color="auto"/>
        <w:right w:val="none" w:sz="0" w:space="0" w:color="auto"/>
      </w:divBdr>
      <w:divsChild>
        <w:div w:id="1760322118">
          <w:marLeft w:val="0"/>
          <w:marRight w:val="0"/>
          <w:marTop w:val="0"/>
          <w:marBottom w:val="0"/>
          <w:divBdr>
            <w:top w:val="none" w:sz="0" w:space="0" w:color="auto"/>
            <w:left w:val="none" w:sz="0" w:space="0" w:color="auto"/>
            <w:bottom w:val="none" w:sz="0" w:space="0" w:color="auto"/>
            <w:right w:val="none" w:sz="0" w:space="0" w:color="auto"/>
          </w:divBdr>
        </w:div>
        <w:div w:id="1083645503">
          <w:marLeft w:val="0"/>
          <w:marRight w:val="0"/>
          <w:marTop w:val="0"/>
          <w:marBottom w:val="0"/>
          <w:divBdr>
            <w:top w:val="none" w:sz="0" w:space="0" w:color="auto"/>
            <w:left w:val="none" w:sz="0" w:space="0" w:color="auto"/>
            <w:bottom w:val="none" w:sz="0" w:space="0" w:color="auto"/>
            <w:right w:val="none" w:sz="0" w:space="0" w:color="auto"/>
          </w:divBdr>
        </w:div>
      </w:divsChild>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mpots.gouv.fr/portail/international-particulier/le-regime-des-impatries" TargetMode="External"/><Relationship Id="rId18" Type="http://schemas.openxmlformats.org/officeDocument/2006/relationships/hyperlink" Target="https://www.economie.gouv.fr/particuliers/tranches-imposition-impot-revenu"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service-public.gouv.fr/particuliers/vosdroits/F35894" TargetMode="External"/><Relationship Id="rId7" Type="http://schemas.openxmlformats.org/officeDocument/2006/relationships/settings" Target="settings.xml"/><Relationship Id="rId12" Type="http://schemas.openxmlformats.org/officeDocument/2006/relationships/hyperlink" Target="https://www.service-public.fr/particuliers/vosdroits/F2811" TargetMode="External"/><Relationship Id="rId17" Type="http://schemas.openxmlformats.org/officeDocument/2006/relationships/hyperlink" Target="https://www.economie.gouv.fr/particuliers/tranches-imposition-impot-revenu"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economie.gouv.fr/particuliers/tranches-imposition-impot-revenu"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economie.gouv.fr/particuliers/revenu-imposable-revenu-fiscal-reference" TargetMode="External"/><Relationship Id="rId23" Type="http://schemas.openxmlformats.org/officeDocument/2006/relationships/hyperlink" Target="https://abonnes.efl.fr/EFL2/convert/id/?id=A7B9E6476CCA3BC2-EFL" TargetMode="External"/><Relationship Id="rId10" Type="http://schemas.openxmlformats.org/officeDocument/2006/relationships/endnotes" Target="endnotes.xml"/><Relationship Id="rId19" Type="http://schemas.openxmlformats.org/officeDocument/2006/relationships/hyperlink" Target="https://www.economie.gouv.fr/particuliers/tranches-imposition-impot-reven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conomie.gouv.fr/particuliers/impot-sur-le-revenu" TargetMode="External"/><Relationship Id="rId22" Type="http://schemas.openxmlformats.org/officeDocument/2006/relationships/image" Target="media/image3.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B04A66-3D63-4286-B296-DDABCBCC181E}">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2.xml><?xml version="1.0" encoding="utf-8"?>
<ds:datastoreItem xmlns:ds="http://schemas.openxmlformats.org/officeDocument/2006/customXml" ds:itemID="{F7B7D27E-AC68-4A91-976B-D45F7CB1DD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4.xml><?xml version="1.0" encoding="utf-8"?>
<ds:datastoreItem xmlns:ds="http://schemas.openxmlformats.org/officeDocument/2006/customXml" ds:itemID="{AD0912E6-49A6-4C5D-B3F8-4415D6FA80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12115</Words>
  <Characters>69061</Characters>
  <Application>Microsoft Office Word</Application>
  <DocSecurity>0</DocSecurity>
  <Lines>575</Lines>
  <Paragraphs>162</Paragraphs>
  <ScaleCrop>false</ScaleCrop>
  <HeadingPairs>
    <vt:vector size="2" baseType="variant">
      <vt:variant>
        <vt:lpstr>Titre</vt:lpstr>
      </vt:variant>
      <vt:variant>
        <vt:i4>1</vt:i4>
      </vt:variant>
    </vt:vector>
  </HeadingPairs>
  <TitlesOfParts>
    <vt:vector size="1" baseType="lpstr">
      <vt:lpstr>Chapitre 1 : L’impôt sur le revenu 2025</vt:lpstr>
    </vt:vector>
  </TitlesOfParts>
  <Company>CGPC - membre FPSB</Company>
  <LinksUpToDate>false</LinksUpToDate>
  <CharactersWithSpaces>81014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L’impôt sur le revenu</dc:title>
  <dc:subject>L’impôt sur le revenu</dc:subject>
  <dc:creator>Renaud Duval</dc:creator>
  <cp:keywords/>
  <dc:description/>
  <cp:lastModifiedBy>Renaud Duval</cp:lastModifiedBy>
  <cp:revision>26</cp:revision>
  <cp:lastPrinted>2024-04-17T13:50:00Z</cp:lastPrinted>
  <dcterms:created xsi:type="dcterms:W3CDTF">2026-05-21T09:38:00Z</dcterms:created>
  <dcterms:modified xsi:type="dcterms:W3CDTF">2026-06-24T12:49:00Z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